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Настройка RAGFlow для DOMPLAN HR</w:t>
      </w:r>
    </w:p>
    <w:p>
      <w:r>
        <w:t>Отдельные чаты для каждой роли создавать не требуется. Текущая интеграция использует API загрузки и разбора документов, без Chat ID. Роли, доступ, согласования и выплаты контролирует DOMPLAN HR.</w:t>
      </w:r>
    </w:p>
    <w:p>
      <w:pPr>
        <w:pStyle w:val="Heading1"/>
      </w:pPr>
      <w:r>
        <w:t>Что настроить внутри RAGFlow</w:t>
      </w:r>
    </w:p>
    <w:p>
      <w:r>
        <w:t>1. Откройте вашу установку RAGFlow. Уточните у администратора, что https://api.swipies.app предоставляет стандартный RAGFlow HTTP API по /api/v1. Адрес интерфейса может отличаться от адреса API.</w:t>
      </w:r>
    </w:p>
    <w:p>
      <w:r>
        <w:t>2. Настройте доступный embedding-провайдер и модель. Для OCR сканов настройте поддерживаемый вашей версией парсер. Не придумывайте ключи моделей: используйте существующие настройки вашего сервера.</w:t>
      </w:r>
    </w:p>
    <w:p>
      <w:r>
        <w:t>3. Создайте отдельный закрытый dataset DOMPLAN HR Documents. Дайте доступ только сотрудникам, которым разрешено видеть HR-документы. Не делайте его публичным.</w:t>
      </w:r>
    </w:p>
    <w:p>
      <w:r>
        <w:t>4. Выберите подходящий для обычных документов режим разбиения General/общий (название зависит от версии). Проверьте на одном обезличенном DOCX или PDF: загрузка, запуск разбора, появление читаемых chunks.</w:t>
      </w:r>
    </w:p>
    <w:p>
      <w:r>
        <w:t>5. В настройках API создайте или получите ключ, разрешённый вашей организацией. Скопируйте Dataset ID из интерфейса/URL или API.</w:t>
      </w:r>
    </w:p>
    <w:p>
      <w:r>
        <w:t>6. В D:\pta\domplan HR\.env заполните RAGFLOW_URL=https://api.swipies.app, RAGFLOW_API_KEY и RAGFLOW_DATASET_ID. После изменения перезапустите сервер. Ключ не отправляйте в чат и не вставляйте в Word-карточку.</w:t>
      </w:r>
    </w:p>
    <w:p>
      <w:r>
        <w:t>7. В приложении прикрепите документ к заявке. HR или суперадминистратор нажимает «Отправить в RAGFlow». После обработки нажмите «Показать разбор». Загрузка локальных приложений работает и без RAGFlow.</w:t>
      </w:r>
    </w:p>
    <w:p>
      <w:pPr>
        <w:pStyle w:val="Heading1"/>
      </w:pPr>
      <w:r>
        <w:t>Нужен ли чат?</w:t>
      </w:r>
    </w:p>
    <w:p>
      <w:r>
        <w:t>Для текущих функций — нет. Если позже понадобится диалоговый помощник по регламентам, можно создать один закрытый chat assistant и привязать к нему отдельный dataset общих правил. Создание ассистента само по себе не подключает чат к DOMPLAN: потребуется отдельная интеграция. Разные чаты не обеспечивают разделение прав; доступ к данным должен проверяться сервером.</w:t>
      </w:r>
    </w:p>
    <w:p>
      <w:r>
        <w:t>Не используйте общий поиск по всем кадровым документам для пользователей с разными правами. В текущей реализации результаты разбора выдаются только по документам доступной заявки. Автоматических решений о приёме, одобрении оклада или выплате RAGFlow не принимает.</w:t>
      </w:r>
    </w:p>
    <w:p>
      <w:pPr>
        <w:pStyle w:val="Heading1"/>
      </w:pPr>
      <w:r>
        <w:t>Как движется Word-документ</w:t>
      </w:r>
    </w:p>
    <w:p>
      <w:r>
        <w:t>Создайте заявку → скачайте пустой шаблон или Word-карточку → заполните при необходимости и прикрепите свой файл → текущий ответственный добавляет заключение и решение в приложении → следующий участник видит ту же заявку и вложения. На любом этапе можно скачать актуальный Word со всеми сохранёнными решениями. Исправленный файл загружается отдельным приложением, старый сохраняется. Загрузка доступна ответственному текущего этапа и суперадминистратору; скачивание — всем пользователям с доступом к заявке.</w:t>
      </w:r>
    </w:p>
    <w:p>
      <w:r>
        <w:t>Word является рабочим шаблоном или снимком, а не синхронно редактируемым файлом. Согласования не извлекаются автоматически из загруженного Word. Запись выплаты не переводит деньги.</w:t>
      </w:r>
    </w:p>
    <w:p>
      <w:pPr>
        <w:pStyle w:val="Heading1"/>
      </w:pPr>
      <w:r>
        <w:t>Официальные инструкции</w:t>
      </w:r>
    </w:p>
    <w:p>
      <w:r>
        <w:t>https://ragflow.io/docs</w:t>
        <w:br/>
        <w:t>https://ragflow.io/docs/v1.0.0-rc2/http_api_reference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