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pPr>
      <w:r>
        <w:t xml:space="preserve">Test Plan: VWO Login Dashboard (DRAFT)</w:t>
      </w:r>
    </w:p>
    <w:p>
      <w:pPr>
        <w:pStyle w:val="Heading1"/>
        <w:keepNext/>
      </w:pPr>
      <w:r>
        <w:t xml:space="preserve">Objective</w:t>
      </w:r>
    </w:p>
    <w:p>
      <w:pPr/>
      <w:r>
        <w:t xml:space="preserve">Verify that the VWO login experience provides secure, accessible, responsive, and performant access to the VWO platform, and that authentication and recovery flows behave as defined in the PRD.</w:t>
      </w:r>
    </w:p>
    <w:p>
      <w:pPr>
        <w:pStyle w:val="Heading1"/>
        <w:keepNext/>
      </w:pPr>
      <w:r>
        <w:t xml:space="preserve">Scope</w:t>
      </w:r>
    </w:p>
    <w:p>
      <w:pPr/>
      <w:r>
        <w:t xml:space="preserve">Validate the login page and its related authentication, account recovery, session, enterprise access, and post-login transitions. Confirm that measurable targets in the PRD are assessed and that failures can be recovered from with clear user feedback.</w:t>
      </w:r>
    </w:p>
    <w:p>
      <w:pPr>
        <w:pStyle w:val="Heading2"/>
        <w:keepNext/>
      </w:pPr>
      <w:r>
        <w:t xml:space="preserve">Inclusions</w:t>
      </w:r>
    </w:p>
    <w:p>
      <w:pPr>
        <w:pStyle w:val="ListParagraph"/>
        <w:ind w:left="360"/>
      </w:pPr>
      <w:r>
        <w:t xml:space="preserve">? Email/password login, field validation, password requirements, and authentication error handling.</w:t>
      </w:r>
    </w:p>
    <w:p>
      <w:pPr>
        <w:pStyle w:val="ListParagraph"/>
        <w:ind w:left="360"/>
      </w:pPr>
      <w:r>
        <w:t xml:space="preserve">? Remember Me behavior, session handling, session timeout, and successful dashboard transition.</w:t>
      </w:r>
    </w:p>
    <w:p>
      <w:pPr>
        <w:pStyle w:val="ListParagraph"/>
        <w:ind w:left="360"/>
      </w:pPr>
      <w:r>
        <w:t xml:space="preserve">? Password reset and email-based account recovery.</w:t>
      </w:r>
    </w:p>
    <w:p>
      <w:pPr>
        <w:pStyle w:val="ListParagraph"/>
        <w:ind w:left="360"/>
      </w:pPr>
      <w:r>
        <w:t xml:space="preserve">? Optional MFA and enterprise SSO, subject to availability in the test environment.</w:t>
      </w:r>
    </w:p>
    <w:p>
      <w:pPr>
        <w:pStyle w:val="ListParagraph"/>
        <w:ind w:left="360"/>
      </w:pPr>
      <w:r>
        <w:t xml:space="preserve">? Registration/free-trial link and the login-page announcement, including light and dark themes.</w:t>
      </w:r>
    </w:p>
    <w:p>
      <w:pPr>
        <w:pStyle w:val="ListParagraph"/>
        <w:ind w:left="360"/>
      </w:pPr>
      <w:r>
        <w:t xml:space="preserve">? Responsive layout, auto-focus, clickable labels, loading states, keyboard navigation, screen-reader support, high contrast, and WCAG 2.1 AA checks.</w:t>
      </w:r>
    </w:p>
    <w:p>
      <w:pPr>
        <w:pStyle w:val="ListParagraph"/>
        <w:ind w:left="360"/>
      </w:pPr>
      <w:r>
        <w:t xml:space="preserve">? HTTPS enforcement, authentication data protection, secure session handling, rate limiting, and applicable GDPR/CCPA and enterprise audit requirements.</w:t>
      </w:r>
    </w:p>
    <w:p>
      <w:pPr>
        <w:pStyle w:val="ListParagraph"/>
        <w:ind w:left="360"/>
      </w:pPr>
      <w:r>
        <w:t xml:space="preserve">? Login-page load time, concurrent login behavior, availability, and geographic performance requirements.</w:t>
      </w:r>
    </w:p>
    <w:p>
      <w:pPr>
        <w:pStyle w:val="ListParagraph"/>
        <w:ind w:left="360"/>
      </w:pPr>
      <w:r>
        <w:t xml:space="preserve">? Core platform transition, login success/failure analytics, support integration, and any enabled third-party identity providers.</w:t>
      </w:r>
    </w:p>
    <w:p>
      <w:pPr>
        <w:pStyle w:val="ListParagraph"/>
        <w:ind w:left="360"/>
      </w:pPr>
      <w:r>
        <w:t xml:space="preserve">? Verification of the PRD's stated success metrics where suitable measurement data is available.</w:t>
      </w:r>
    </w:p>
    <w:p>
      <w:pPr>
        <w:pStyle w:val="Heading2"/>
        <w:keepNext/>
      </w:pPr>
      <w:r>
        <w:t xml:space="preserve">Exclusions and Conditional Scope</w:t>
      </w:r>
    </w:p>
    <w:p>
      <w:pPr>
        <w:pStyle w:val="ListParagraph"/>
        <w:ind w:left="360"/>
      </w:pPr>
      <w:r>
        <w:t xml:space="preserve">? Biometric authentication, adaptive authentication, and progressive web app capabilities are listed as future enhancements and are excluded from this release's acceptance testing.</w:t>
      </w:r>
    </w:p>
    <w:p>
      <w:pPr>
        <w:pStyle w:val="ListParagraph"/>
        <w:ind w:left="360"/>
      </w:pPr>
      <w:r>
        <w:t xml:space="preserve">? Social login is described as optional. Include it only if the release explicitly enables it and provides configured identity-provider test accounts.</w:t>
      </w:r>
    </w:p>
    <w:p>
      <w:pPr>
        <w:pStyle w:val="ListParagraph"/>
        <w:ind w:left="360"/>
      </w:pPr>
      <w:r>
        <w:t xml:space="preserve">? Optional MFA, SSO protocols, recovery methods, and integrations are tested only when implemented and configured for the release. Their exact supported modes must be confirmed before execution.</w:t>
      </w:r>
    </w:p>
    <w:p>
      <w:pPr>
        <w:pStyle w:val="Quote"/>
        <w:pBdr>
          <w:left w:val="single" w:sz="18" w:space="7" w:color="174E80"/>
        </w:pBdr>
      </w:pPr>
      <w:r>
        <w:t xml:space="preserve">Status: DRAFT - pending human review. This is a product-level plan, not an approved ticket plan. No Jira key, ticket body, or ticket acceptance criteria were supplied. Existing VWO login/dashboard planning material is the source for scope and scenarios; no scenario is represented as verified ticket acceptance criteria.</w:t>
      </w:r>
    </w:p>
    <w:p>
      <w:pPr>
        <w:pStyle w:val="Heading1"/>
        <w:keepNext/>
      </w:pPr>
      <w:r>
        <w:t xml:space="preserve">Source and Context</w:t>
      </w:r>
    </w:p>
    <w:p>
      <w:pPr>
        <w:pStyle w:val="ListParagraph"/>
        <w:ind w:left="360"/>
      </w:pPr>
      <w:r>
        <w:t xml:space="preserve">? Local product notes describe VWO.com as a website A/B testing product. Company-profile details are not used as test requirements.</w:t>
      </w:r>
    </w:p>
    <w:p>
      <w:pPr>
        <w:pStyle w:val="ListParagraph"/>
        <w:ind w:left="360"/>
      </w:pPr>
      <w:r>
        <w:t xml:space="preserve">? Jira ticket details, release version, sprint, and linked issues were not supplied; no ticket was fetched.</w:t>
      </w:r>
    </w:p>
    <w:p>
      <w:pPr>
        <w:pStyle w:val="ListParagraph"/>
        <w:ind w:left="360"/>
      </w:pPr>
      <w:r>
        <w:t xml:space="preserve">? Priorities are proposed QA risk rankings for review, not committed release severity or acceptance decisions.</w:t>
      </w:r>
    </w:p>
    <w:p>
      <w:pPr>
        <w:pStyle w:val="Heading1"/>
        <w:keepNext/>
      </w:pPr>
      <w:r>
        <w:t xml:space="preserve">Gaps &amp; Questions for the Author</w:t>
      </w:r>
    </w:p>
    <w:p>
      <w:pPr/>
      <w:r>
        <w:t xml:space="preserve">The checklist below distinguishes information in the existing product plan from requirements that remain unconfirmed. A gap is not a product defect; it is a question to resolve before ticket-level sign-off.</w:t>
      </w:r>
    </w:p>
    <w:tbl>
      <w:tblPr>
        <w:tblW w:w="9360" w:type="dxa"/>
        <w:tblLayout w:type="fixed"/>
        <w:tblBorders>
          <w:top w:val="single" w:sz="5" w:color="C8D4E0"/>
          <w:left w:val="single" w:sz="5" w:color="C8D4E0"/>
          <w:bottom w:val="single" w:sz="5" w:color="C8D4E0"/>
          <w:right w:val="single" w:sz="5" w:color="C8D4E0"/>
          <w:insideH w:val="single" w:sz="4" w:color="D6DEE8"/>
          <w:insideV w:val="single" w:sz="4" w:color="D6DEE8"/>
        </w:tblBorders>
        <w:tblCellMar>
          <w:top w:w="75" w:type="dxa"/>
          <w:left w:w="80" w:type="dxa"/>
          <w:bottom w:w="75" w:type="dxa"/>
          <w:right w:w="80" w:type="dxa"/>
        </w:tblCellMar>
      </w:tblPr>
      <w:tblGrid>
        <w:gridCol w:w="420"/>
        <w:gridCol w:w="1350"/>
        <w:gridCol w:w="2400"/>
        <w:gridCol w:w="5190"/>
      </w:tblGrid>
      <w:tr>
        <w:trPr>
          <w:tblHeader w:val="true"/>
          <w:cantSplit/>
        </w:trPr>
        <w:tc>
          <w:tcPr>
            <w:tcW w:w="420" w:type="dxa"/>
            <w:shd w:fill="EAF1F8"/>
            <w:vAlign w:val="top"/>
          </w:tcPr>
          <w:p>
            <w:pPr>
              <w:spacing w:after="40"/>
            </w:pPr>
            <w:r>
              <w:t xml:space="preserve">#</w:t>
            </w:r>
          </w:p>
        </w:tc>
        <w:tc>
          <w:tcPr>
            <w:tcW w:w="1350" w:type="dxa"/>
            <w:shd w:fill="EAF1F8"/>
            <w:vAlign w:val="top"/>
          </w:tcPr>
          <w:p>
            <w:pPr>
              <w:spacing w:after="40"/>
            </w:pPr>
            <w:r>
              <w:t xml:space="preserve">Area</w:t>
            </w:r>
          </w:p>
        </w:tc>
        <w:tc>
          <w:tcPr>
            <w:tcW w:w="2400" w:type="dxa"/>
            <w:shd w:fill="EAF1F8"/>
            <w:vAlign w:val="top"/>
          </w:tcPr>
          <w:p>
            <w:pPr>
              <w:spacing w:after="40"/>
            </w:pPr>
            <w:r>
              <w:t xml:space="preserve">Finding</w:t>
            </w:r>
          </w:p>
        </w:tc>
        <w:tc>
          <w:tcPr>
            <w:tcW w:w="5190" w:type="dxa"/>
            <w:shd w:fill="EAF1F8"/>
            <w:vAlign w:val="top"/>
          </w:tcPr>
          <w:p>
            <w:pPr>
              <w:spacing w:after="40"/>
            </w:pPr>
            <w:r>
              <w:t xml:space="preserve">Question for author / owner</w:t>
            </w:r>
          </w:p>
        </w:tc>
      </w:tr>
      <w:tr>
        <w:trPr>
          <w:cantSplit/>
        </w:trPr>
        <w:tc>
          <w:tcPr>
            <w:tcW w:w="420" w:type="dxa"/>
            <w:vAlign w:val="top"/>
          </w:tcPr>
          <w:p>
            <w:pPr>
              <w:spacing w:after="40"/>
            </w:pPr>
            <w:r>
              <w:t xml:space="preserve">Q-01</w:t>
            </w:r>
          </w:p>
        </w:tc>
        <w:tc>
          <w:tcPr>
            <w:tcW w:w="1350" w:type="dxa"/>
            <w:vAlign w:val="top"/>
          </w:tcPr>
          <w:p>
            <w:pPr>
              <w:spacing w:after="40"/>
            </w:pPr>
            <w:r>
              <w:t xml:space="preserve">Story / ticket</w:t>
            </w:r>
          </w:p>
        </w:tc>
        <w:tc>
          <w:tcPr>
            <w:tcW w:w="2400" w:type="dxa"/>
            <w:vAlign w:val="top"/>
          </w:tcPr>
          <w:p>
            <w:pPr>
              <w:spacing w:after="40"/>
            </w:pPr>
            <w:r>
              <w:t xml:space="preserve">MISSING: no Jira key or user story was provided.</w:t>
            </w:r>
          </w:p>
        </w:tc>
        <w:tc>
          <w:tcPr>
            <w:tcW w:w="5190" w:type="dxa"/>
            <w:vAlign w:val="top"/>
          </w:tcPr>
          <w:p>
            <w:pPr>
              <w:spacing w:after="40"/>
            </w:pPr>
            <w:r>
              <w:t xml:space="preserve">Provide the Jira key or approved story text, including summary, description, release/sprint, linked issues, and relevant attachments.</w:t>
            </w:r>
          </w:p>
        </w:tc>
      </w:tr>
      <w:tr>
        <w:trPr>
          <w:cantSplit/>
        </w:trPr>
        <w:tc>
          <w:tcPr>
            <w:tcW w:w="420" w:type="dxa"/>
            <w:shd w:fill="F4F7FB"/>
            <w:vAlign w:val="top"/>
          </w:tcPr>
          <w:p>
            <w:pPr>
              <w:spacing w:after="40"/>
            </w:pPr>
            <w:r>
              <w:t xml:space="preserve">Q-02</w:t>
            </w:r>
          </w:p>
        </w:tc>
        <w:tc>
          <w:tcPr>
            <w:tcW w:w="1350" w:type="dxa"/>
            <w:shd w:fill="F4F7FB"/>
            <w:vAlign w:val="top"/>
          </w:tcPr>
          <w:p>
            <w:pPr>
              <w:spacing w:after="40"/>
            </w:pPr>
            <w:r>
              <w:t xml:space="preserve">Acceptance criteria</w:t>
            </w:r>
          </w:p>
        </w:tc>
        <w:tc>
          <w:tcPr>
            <w:tcW w:w="2400" w:type="dxa"/>
            <w:shd w:fill="F4F7FB"/>
            <w:vAlign w:val="top"/>
          </w:tcPr>
          <w:p>
            <w:pPr>
              <w:spacing w:after="40"/>
            </w:pPr>
            <w:r>
              <w:t xml:space="preserve">MISSING: no ticket acceptance criteria were provided. The existing plan describes product behaviors and PRD targets, not ticket-level AC.</w:t>
            </w:r>
          </w:p>
        </w:tc>
        <w:tc>
          <w:tcPr>
            <w:tcW w:w="5190" w:type="dxa"/>
            <w:shd w:fill="F4F7FB"/>
            <w:vAlign w:val="top"/>
          </w:tcPr>
          <w:p>
            <w:pPr>
              <w:spacing w:after="40"/>
            </w:pPr>
            <w:r>
              <w:t xml:space="preserve">Supply observable, pass/fail acceptance criteria and identify the product requirements each criterion satisfies.</w:t>
            </w:r>
          </w:p>
        </w:tc>
      </w:tr>
      <w:tr>
        <w:trPr>
          <w:cantSplit/>
        </w:trPr>
        <w:tc>
          <w:tcPr>
            <w:tcW w:w="420" w:type="dxa"/>
            <w:vAlign w:val="top"/>
          </w:tcPr>
          <w:p>
            <w:pPr>
              <w:spacing w:after="40"/>
            </w:pPr>
            <w:r>
              <w:t xml:space="preserve">Q-03</w:t>
            </w:r>
          </w:p>
        </w:tc>
        <w:tc>
          <w:tcPr>
            <w:tcW w:w="1350" w:type="dxa"/>
            <w:vAlign w:val="top"/>
          </w:tcPr>
          <w:p>
            <w:pPr>
              <w:spacing w:after="40"/>
            </w:pPr>
            <w:r>
              <w:t xml:space="preserve">Happy path</w:t>
            </w:r>
          </w:p>
        </w:tc>
        <w:tc>
          <w:tcPr>
            <w:tcW w:w="2400" w:type="dxa"/>
            <w:vAlign w:val="top"/>
          </w:tcPr>
          <w:p>
            <w:pPr>
              <w:spacing w:after="40"/>
            </w:pPr>
            <w:r>
              <w:t xml:space="preserve">PRESENT at product-plan level: valid login and dashboard transition are described.</w:t>
            </w:r>
          </w:p>
        </w:tc>
        <w:tc>
          <w:tcPr>
            <w:tcW w:w="5190" w:type="dxa"/>
            <w:vAlign w:val="top"/>
          </w:tcPr>
          <w:p>
            <w:pPr>
              <w:spacing w:after="40"/>
            </w:pPr>
            <w:r>
              <w:t xml:space="preserve">Confirm the release-specific expected successful sign-in and dashboard destination/context.</w:t>
            </w:r>
          </w:p>
        </w:tc>
      </w:tr>
      <w:tr>
        <w:trPr>
          <w:cantSplit/>
        </w:trPr>
        <w:tc>
          <w:tcPr>
            <w:tcW w:w="420" w:type="dxa"/>
            <w:shd w:fill="F4F7FB"/>
            <w:vAlign w:val="top"/>
          </w:tcPr>
          <w:p>
            <w:pPr>
              <w:spacing w:after="40"/>
            </w:pPr>
            <w:r>
              <w:t xml:space="preserve">Q-04</w:t>
            </w:r>
          </w:p>
        </w:tc>
        <w:tc>
          <w:tcPr>
            <w:tcW w:w="1350" w:type="dxa"/>
            <w:shd w:fill="F4F7FB"/>
            <w:vAlign w:val="top"/>
          </w:tcPr>
          <w:p>
            <w:pPr>
              <w:spacing w:after="40"/>
            </w:pPr>
            <w:r>
              <w:t xml:space="preserve">Negative / error paths</w:t>
            </w:r>
          </w:p>
        </w:tc>
        <w:tc>
          <w:tcPr>
            <w:tcW w:w="2400" w:type="dxa"/>
            <w:shd w:fill="F4F7FB"/>
            <w:vAlign w:val="top"/>
          </w:tcPr>
          <w:p>
            <w:pPr>
              <w:spacing w:after="40"/>
            </w:pPr>
            <w:r>
              <w:t xml:space="preserve">PRESENT at product-plan level: invalid credentials, validation, recovery, token, and provider failure scenarios are described.</w:t>
            </w:r>
          </w:p>
        </w:tc>
        <w:tc>
          <w:tcPr>
            <w:tcW w:w="5190" w:type="dxa"/>
            <w:shd w:fill="F4F7FB"/>
            <w:vAlign w:val="top"/>
          </w:tcPr>
          <w:p>
            <w:pPr>
              <w:spacing w:after="40"/>
            </w:pPr>
            <w:r>
              <w:t xml:space="preserve">Confirm approved error wording, lockout behavior, and privacy-safe account-recovery responses.</w:t>
            </w:r>
          </w:p>
        </w:tc>
      </w:tr>
      <w:tr>
        <w:trPr>
          <w:cantSplit/>
        </w:trPr>
        <w:tc>
          <w:tcPr>
            <w:tcW w:w="420" w:type="dxa"/>
            <w:vAlign w:val="top"/>
          </w:tcPr>
          <w:p>
            <w:pPr>
              <w:spacing w:after="40"/>
            </w:pPr>
            <w:r>
              <w:t xml:space="preserve">Q-05</w:t>
            </w:r>
          </w:p>
        </w:tc>
        <w:tc>
          <w:tcPr>
            <w:tcW w:w="1350" w:type="dxa"/>
            <w:vAlign w:val="top"/>
          </w:tcPr>
          <w:p>
            <w:pPr>
              <w:spacing w:after="40"/>
            </w:pPr>
            <w:r>
              <w:t xml:space="preserve">Boundaries / empty states</w:t>
            </w:r>
          </w:p>
        </w:tc>
        <w:tc>
          <w:tcPr>
            <w:tcW w:w="2400" w:type="dxa"/>
            <w:vAlign w:val="top"/>
          </w:tcPr>
          <w:p>
            <w:pPr>
              <w:spacing w:after="40"/>
            </w:pPr>
            <w:r>
              <w:t xml:space="preserve">AMBIGUOUS: empty and malformed inputs, expired/reused reset tokens, and timeout paths are listed; exact boundary values are not defined.</w:t>
            </w:r>
          </w:p>
        </w:tc>
        <w:tc>
          <w:tcPr>
            <w:tcW w:w="5190" w:type="dxa"/>
            <w:vAlign w:val="top"/>
          </w:tcPr>
          <w:p>
            <w:pPr>
              <w:spacing w:after="40"/>
            </w:pPr>
            <w:r>
              <w:t xml:space="preserve">Define input limits, reset-token lifetime/reuse rules, session timeout, rate thresholds, and expected zero/empty states.</w:t>
            </w:r>
          </w:p>
        </w:tc>
      </w:tr>
      <w:tr>
        <w:trPr>
          <w:cantSplit/>
        </w:trPr>
        <w:tc>
          <w:tcPr>
            <w:tcW w:w="420" w:type="dxa"/>
            <w:shd w:fill="F4F7FB"/>
            <w:vAlign w:val="top"/>
          </w:tcPr>
          <w:p>
            <w:pPr>
              <w:spacing w:after="40"/>
            </w:pPr>
            <w:r>
              <w:t xml:space="preserve">Q-06</w:t>
            </w:r>
          </w:p>
        </w:tc>
        <w:tc>
          <w:tcPr>
            <w:tcW w:w="1350" w:type="dxa"/>
            <w:shd w:fill="F4F7FB"/>
            <w:vAlign w:val="top"/>
          </w:tcPr>
          <w:p>
            <w:pPr>
              <w:spacing w:after="40"/>
            </w:pPr>
            <w:r>
              <w:t xml:space="preserve">Workflow / state transitions</w:t>
            </w:r>
          </w:p>
        </w:tc>
        <w:tc>
          <w:tcPr>
            <w:tcW w:w="2400" w:type="dxa"/>
            <w:shd w:fill="F4F7FB"/>
            <w:vAlign w:val="top"/>
          </w:tcPr>
          <w:p>
            <w:pPr>
              <w:spacing w:after="40"/>
            </w:pPr>
            <w:r>
              <w:t xml:space="preserve">AMBIGUOUS: login, MFA/SSO, recovery, session expiry, and dashboard flows are in scope; exact state transitions depend on implementation.</w:t>
            </w:r>
          </w:p>
        </w:tc>
        <w:tc>
          <w:tcPr>
            <w:tcW w:w="5190" w:type="dxa"/>
            <w:shd w:fill="F4F7FB"/>
            <w:vAlign w:val="top"/>
          </w:tcPr>
          <w:p>
            <w:pPr>
              <w:spacing w:after="40"/>
            </w:pPr>
            <w:r>
              <w:t xml:space="preserve">Confirm supported authentication, recovery, cancellation, retry, expiry, and return-to-login flows for this release.</w:t>
            </w:r>
          </w:p>
        </w:tc>
      </w:tr>
      <w:tr>
        <w:trPr>
          <w:cantSplit/>
        </w:trPr>
        <w:tc>
          <w:tcPr>
            <w:tcW w:w="420" w:type="dxa"/>
            <w:vAlign w:val="top"/>
          </w:tcPr>
          <w:p>
            <w:pPr>
              <w:spacing w:after="40"/>
            </w:pPr>
            <w:r>
              <w:t xml:space="preserve">Q-07</w:t>
            </w:r>
          </w:p>
        </w:tc>
        <w:tc>
          <w:tcPr>
            <w:tcW w:w="1350" w:type="dxa"/>
            <w:vAlign w:val="top"/>
          </w:tcPr>
          <w:p>
            <w:pPr>
              <w:spacing w:after="40"/>
            </w:pPr>
            <w:r>
              <w:t xml:space="preserve">Test data</w:t>
            </w:r>
          </w:p>
        </w:tc>
        <w:tc>
          <w:tcPr>
            <w:tcW w:w="2400" w:type="dxa"/>
            <w:vAlign w:val="top"/>
          </w:tcPr>
          <w:p>
            <w:pPr>
              <w:spacing w:after="40"/>
            </w:pPr>
            <w:r>
              <w:t xml:space="preserve">AMBIGUOUS: dedicated standard and enterprise test accounts are called for; synthetic account details and lifecycle are not specified.</w:t>
            </w:r>
          </w:p>
        </w:tc>
        <w:tc>
          <w:tcPr>
            <w:tcW w:w="5190" w:type="dxa"/>
            <w:vAlign w:val="top"/>
          </w:tcPr>
          <w:p>
            <w:pPr>
              <w:spacing w:after="40"/>
            </w:pPr>
            <w:r>
              <w:t xml:space="preserve">Provide approved synthetic accounts, account states, password/MFA setup, reset-mail access, and cleanup/lockout procedures.</w:t>
            </w:r>
          </w:p>
        </w:tc>
      </w:tr>
      <w:tr>
        <w:trPr>
          <w:cantSplit/>
        </w:trPr>
        <w:tc>
          <w:tcPr>
            <w:tcW w:w="420" w:type="dxa"/>
            <w:shd w:fill="F4F7FB"/>
            <w:vAlign w:val="top"/>
          </w:tcPr>
          <w:p>
            <w:pPr>
              <w:spacing w:after="40"/>
            </w:pPr>
            <w:r>
              <w:t xml:space="preserve">Q-08</w:t>
            </w:r>
          </w:p>
        </w:tc>
        <w:tc>
          <w:tcPr>
            <w:tcW w:w="1350" w:type="dxa"/>
            <w:shd w:fill="F4F7FB"/>
            <w:vAlign w:val="top"/>
          </w:tcPr>
          <w:p>
            <w:pPr>
              <w:spacing w:after="40"/>
            </w:pPr>
            <w:r>
              <w:t xml:space="preserve">Environment / configuration</w:t>
            </w:r>
          </w:p>
        </w:tc>
        <w:tc>
          <w:tcPr>
            <w:tcW w:w="2400" w:type="dxa"/>
            <w:shd w:fill="F4F7FB"/>
            <w:vAlign w:val="top"/>
          </w:tcPr>
          <w:p>
            <w:pPr>
              <w:spacing w:after="40"/>
            </w:pPr>
            <w:r>
              <w:t xml:space="preserve">AMBIGUOUS: an HTTPS non-production environment is required; URL, build, browser/device matrix, and flags are not supplied.</w:t>
            </w:r>
          </w:p>
        </w:tc>
        <w:tc>
          <w:tcPr>
            <w:tcW w:w="5190" w:type="dxa"/>
            <w:shd w:fill="F4F7FB"/>
            <w:vAlign w:val="top"/>
          </w:tcPr>
          <w:p>
            <w:pPr>
              <w:spacing w:after="40"/>
            </w:pPr>
            <w:r>
              <w:t xml:space="preserve">Confirm environment URL/build, supported browser/OS/device/screen-reader matrix, and enabled feature flags.</w:t>
            </w:r>
          </w:p>
        </w:tc>
      </w:tr>
      <w:tr>
        <w:trPr>
          <w:cantSplit/>
        </w:trPr>
        <w:tc>
          <w:tcPr>
            <w:tcW w:w="420" w:type="dxa"/>
            <w:vAlign w:val="top"/>
          </w:tcPr>
          <w:p>
            <w:pPr>
              <w:spacing w:after="40"/>
            </w:pPr>
            <w:r>
              <w:t xml:space="preserve">Q-09</w:t>
            </w:r>
          </w:p>
        </w:tc>
        <w:tc>
          <w:tcPr>
            <w:tcW w:w="1350" w:type="dxa"/>
            <w:vAlign w:val="top"/>
          </w:tcPr>
          <w:p>
            <w:pPr>
              <w:spacing w:after="40"/>
            </w:pPr>
            <w:r>
              <w:t xml:space="preserve">Dependencies / setup</w:t>
            </w:r>
          </w:p>
        </w:tc>
        <w:tc>
          <w:tcPr>
            <w:tcW w:w="2400" w:type="dxa"/>
            <w:vAlign w:val="top"/>
          </w:tcPr>
          <w:p>
            <w:pPr>
              <w:spacing w:after="40"/>
            </w:pPr>
            <w:r>
              <w:t xml:space="preserve">AMBIGUOUS: email, dashboard, analytics, support, MFA, SSO, and identity providers are named; exact configured integrations are unknown.</w:t>
            </w:r>
          </w:p>
        </w:tc>
        <w:tc>
          <w:tcPr>
            <w:tcW w:w="5190" w:type="dxa"/>
            <w:vAlign w:val="top"/>
          </w:tcPr>
          <w:p>
            <w:pPr>
              <w:spacing w:after="40"/>
            </w:pPr>
            <w:r>
              <w:t xml:space="preserve">List enabled providers/protocols, test tenants, integration owners, and preconditions for each in-scope integration.</w:t>
            </w:r>
          </w:p>
        </w:tc>
      </w:tr>
      <w:tr>
        <w:trPr>
          <w:cantSplit/>
        </w:trPr>
        <w:tc>
          <w:tcPr>
            <w:tcW w:w="420" w:type="dxa"/>
            <w:shd w:fill="F4F7FB"/>
            <w:vAlign w:val="top"/>
          </w:tcPr>
          <w:p>
            <w:pPr>
              <w:spacing w:after="40"/>
            </w:pPr>
            <w:r>
              <w:t xml:space="preserve">Q-10</w:t>
            </w:r>
          </w:p>
        </w:tc>
        <w:tc>
          <w:tcPr>
            <w:tcW w:w="1350" w:type="dxa"/>
            <w:shd w:fill="F4F7FB"/>
            <w:vAlign w:val="top"/>
          </w:tcPr>
          <w:p>
            <w:pPr>
              <w:spacing w:after="40"/>
            </w:pPr>
            <w:r>
              <w:t xml:space="preserve">Performance / reliability</w:t>
            </w:r>
          </w:p>
        </w:tc>
        <w:tc>
          <w:tcPr>
            <w:tcW w:w="2400" w:type="dxa"/>
            <w:shd w:fill="F4F7FB"/>
            <w:vAlign w:val="top"/>
          </w:tcPr>
          <w:p>
            <w:pPr>
              <w:spacing w:after="40"/>
            </w:pPr>
            <w:r>
              <w:t xml:space="preserve">PARTIAL: login page target is 2 seconds and uptime target is 99.9%; concurrency profile, network, region, and measurement windows are undefined.</w:t>
            </w:r>
          </w:p>
        </w:tc>
        <w:tc>
          <w:tcPr>
            <w:tcW w:w="5190" w:type="dxa"/>
            <w:shd w:fill="F4F7FB"/>
            <w:vAlign w:val="top"/>
          </w:tcPr>
          <w:p>
            <w:pPr>
              <w:spacing w:after="40"/>
            </w:pPr>
            <w:r>
              <w:t xml:space="preserve">Define workload, standard network, regions, observation period, data source, and pass/fail measurement method.</w:t>
            </w:r>
          </w:p>
        </w:tc>
      </w:tr>
      <w:tr>
        <w:trPr>
          <w:cantSplit/>
        </w:trPr>
        <w:tc>
          <w:tcPr>
            <w:tcW w:w="420" w:type="dxa"/>
            <w:vAlign w:val="top"/>
          </w:tcPr>
          <w:p>
            <w:pPr>
              <w:spacing w:after="40"/>
            </w:pPr>
            <w:r>
              <w:t xml:space="preserve">Q-11</w:t>
            </w:r>
          </w:p>
        </w:tc>
        <w:tc>
          <w:tcPr>
            <w:tcW w:w="1350" w:type="dxa"/>
            <w:vAlign w:val="top"/>
          </w:tcPr>
          <w:p>
            <w:pPr>
              <w:spacing w:after="40"/>
            </w:pPr>
            <w:r>
              <w:t xml:space="preserve">Security / authorization</w:t>
            </w:r>
          </w:p>
        </w:tc>
        <w:tc>
          <w:tcPr>
            <w:tcW w:w="2400" w:type="dxa"/>
            <w:vAlign w:val="top"/>
          </w:tcPr>
          <w:p>
            <w:pPr>
              <w:spacing w:after="40"/>
            </w:pPr>
            <w:r>
              <w:t xml:space="preserve">PARTIAL: HTTPS, rate limiting, session protection, and credential handling are in scope; role/permission matrix and numeric thresholds are absent.</w:t>
            </w:r>
          </w:p>
        </w:tc>
        <w:tc>
          <w:tcPr>
            <w:tcW w:w="5190" w:type="dxa"/>
            <w:vAlign w:val="top"/>
          </w:tcPr>
          <w:p>
            <w:pPr>
              <w:spacing w:after="40"/>
            </w:pPr>
            <w:r>
              <w:t xml:space="preserve">Confirm access roles, lockout/rate-limit policy, session controls, audit evidence, and security owner/approval process.</w:t>
            </w:r>
          </w:p>
        </w:tc>
      </w:tr>
      <w:tr>
        <w:trPr>
          <w:cantSplit/>
        </w:trPr>
        <w:tc>
          <w:tcPr>
            <w:tcW w:w="420" w:type="dxa"/>
            <w:shd w:fill="F4F7FB"/>
            <w:vAlign w:val="top"/>
          </w:tcPr>
          <w:p>
            <w:pPr>
              <w:spacing w:after="40"/>
            </w:pPr>
            <w:r>
              <w:t xml:space="preserve">Q-12</w:t>
            </w:r>
          </w:p>
        </w:tc>
        <w:tc>
          <w:tcPr>
            <w:tcW w:w="1350" w:type="dxa"/>
            <w:shd w:fill="F4F7FB"/>
            <w:vAlign w:val="top"/>
          </w:tcPr>
          <w:p>
            <w:pPr>
              <w:spacing w:after="40"/>
            </w:pPr>
            <w:r>
              <w:t xml:space="preserve">Accessibility</w:t>
            </w:r>
          </w:p>
        </w:tc>
        <w:tc>
          <w:tcPr>
            <w:tcW w:w="2400" w:type="dxa"/>
            <w:shd w:fill="F4F7FB"/>
            <w:vAlign w:val="top"/>
          </w:tcPr>
          <w:p>
            <w:pPr>
              <w:spacing w:after="40"/>
            </w:pPr>
            <w:r>
              <w:t xml:space="preserve">PRESENT as a WCAG 2.1 AA objective; supported assistive-technology matrix and evidence method are TBD.</w:t>
            </w:r>
          </w:p>
        </w:tc>
        <w:tc>
          <w:tcPr>
            <w:tcW w:w="5190" w:type="dxa"/>
            <w:shd w:fill="F4F7FB"/>
            <w:vAlign w:val="top"/>
          </w:tcPr>
          <w:p>
            <w:pPr>
              <w:spacing w:after="40"/>
            </w:pPr>
            <w:r>
              <w:t xml:space="preserve">Confirm required conformance scope, browsers, screen readers, and accessibility acceptance owner.</w:t>
            </w:r>
          </w:p>
        </w:tc>
      </w:tr>
      <w:tr>
        <w:trPr>
          <w:cantSplit/>
        </w:trPr>
        <w:tc>
          <w:tcPr>
            <w:tcW w:w="420" w:type="dxa"/>
            <w:vAlign w:val="top"/>
          </w:tcPr>
          <w:p>
            <w:pPr>
              <w:spacing w:after="40"/>
            </w:pPr>
            <w:r>
              <w:t xml:space="preserve">Q-13</w:t>
            </w:r>
          </w:p>
        </w:tc>
        <w:tc>
          <w:tcPr>
            <w:tcW w:w="1350" w:type="dxa"/>
            <w:vAlign w:val="top"/>
          </w:tcPr>
          <w:p>
            <w:pPr>
              <w:spacing w:after="40"/>
            </w:pPr>
            <w:r>
              <w:t xml:space="preserve">Localization</w:t>
            </w:r>
          </w:p>
        </w:tc>
        <w:tc>
          <w:tcPr>
            <w:tcW w:w="2400" w:type="dxa"/>
            <w:vAlign w:val="top"/>
          </w:tcPr>
          <w:p>
            <w:pPr>
              <w:spacing w:after="40"/>
            </w:pPr>
            <w:r>
              <w:t xml:space="preserve">MISSING: supported languages, locales, and formatting requirements are not defined.</w:t>
            </w:r>
          </w:p>
        </w:tc>
        <w:tc>
          <w:tcPr>
            <w:tcW w:w="5190" w:type="dxa"/>
            <w:vAlign w:val="top"/>
          </w:tcPr>
          <w:p>
            <w:pPr>
              <w:spacing w:after="40"/>
            </w:pPr>
            <w:r>
              <w:t xml:space="preserve">Confirm whether localization is in scope and list required locales, text expansion, and locale-specific behavior.</w:t>
            </w:r>
          </w:p>
        </w:tc>
      </w:tr>
      <w:tr>
        <w:trPr>
          <w:cantSplit/>
        </w:trPr>
        <w:tc>
          <w:tcPr>
            <w:tcW w:w="420" w:type="dxa"/>
            <w:shd w:fill="F4F7FB"/>
            <w:vAlign w:val="top"/>
          </w:tcPr>
          <w:p>
            <w:pPr>
              <w:spacing w:after="40"/>
            </w:pPr>
            <w:r>
              <w:t xml:space="preserve">Q-14</w:t>
            </w:r>
          </w:p>
        </w:tc>
        <w:tc>
          <w:tcPr>
            <w:tcW w:w="1350" w:type="dxa"/>
            <w:shd w:fill="F4F7FB"/>
            <w:vAlign w:val="top"/>
          </w:tcPr>
          <w:p>
            <w:pPr>
              <w:spacing w:after="40"/>
            </w:pPr>
            <w:r>
              <w:t xml:space="preserve">Audit / observability</w:t>
            </w:r>
          </w:p>
        </w:tc>
        <w:tc>
          <w:tcPr>
            <w:tcW w:w="2400" w:type="dxa"/>
            <w:shd w:fill="F4F7FB"/>
            <w:vAlign w:val="top"/>
          </w:tcPr>
          <w:p>
            <w:pPr>
              <w:spacing w:after="40"/>
            </w:pPr>
            <w:r>
              <w:t xml:space="preserve">PARTIAL: login analytics and monitoring are mentioned; audit events, retention, dashboards, and alert thresholds are unspecified.</w:t>
            </w:r>
          </w:p>
        </w:tc>
        <w:tc>
          <w:tcPr>
            <w:tcW w:w="5190" w:type="dxa"/>
            <w:shd w:fill="F4F7FB"/>
            <w:vAlign w:val="top"/>
          </w:tcPr>
          <w:p>
            <w:pPr>
              <w:spacing w:after="40"/>
            </w:pPr>
            <w:r>
              <w:t xml:space="preserve">Define required audit events, secret/PII redaction, retention, monitoring signals, and evidence sources.</w:t>
            </w:r>
          </w:p>
        </w:tc>
      </w:tr>
      <w:tr>
        <w:trPr>
          <w:cantSplit/>
        </w:trPr>
        <w:tc>
          <w:tcPr>
            <w:tcW w:w="420" w:type="dxa"/>
            <w:vAlign w:val="top"/>
          </w:tcPr>
          <w:p>
            <w:pPr>
              <w:spacing w:after="40"/>
            </w:pPr>
            <w:r>
              <w:t xml:space="preserve">Q-15</w:t>
            </w:r>
          </w:p>
        </w:tc>
        <w:tc>
          <w:tcPr>
            <w:tcW w:w="1350" w:type="dxa"/>
            <w:vAlign w:val="top"/>
          </w:tcPr>
          <w:p>
            <w:pPr>
              <w:spacing w:after="40"/>
            </w:pPr>
            <w:r>
              <w:t xml:space="preserve">Metrics / governance</w:t>
            </w:r>
          </w:p>
        </w:tc>
        <w:tc>
          <w:tcPr>
            <w:tcW w:w="2400" w:type="dxa"/>
            <w:vAlign w:val="top"/>
          </w:tcPr>
          <w:p>
            <w:pPr>
              <w:spacing w:after="40"/>
            </w:pPr>
            <w:r>
              <w:t xml:space="preserve">AMBIGUOUS: login success, satisfaction, support reduction, uptime, and security goals are named without sources, periods, or owners.</w:t>
            </w:r>
          </w:p>
        </w:tc>
        <w:tc>
          <w:tcPr>
            <w:tcW w:w="5190" w:type="dxa"/>
            <w:vAlign w:val="top"/>
          </w:tcPr>
          <w:p>
            <w:pPr>
              <w:spacing w:after="40"/>
            </w:pPr>
            <w:r>
              <w:t xml:space="preserve">Confirm metric definitions, baselines, reporting windows, owners, and release acceptance authority.</w:t>
            </w:r>
          </w:p>
        </w:tc>
      </w:tr>
    </w:tbl>
    <w:p>
      <w:pPr/>
    </w:p>
    <w:p>
      <w:pPr>
        <w:pStyle w:val="Heading1"/>
        <w:keepNext/>
      </w:pPr>
      <w:r>
        <w:t xml:space="preserve">Test Environments</w:t>
      </w:r>
    </w:p>
    <w:p>
      <w:pPr/>
      <w:r>
        <w:t xml:space="preserve">Use an approved, production-like non-production environment with HTTPS and the authentication, platform, email-recovery, analytics, support, and identity-provider integrations enabled for the release. Use dedicated test accounts representing standard and enterprise users, including accounts configured for MFA/SSO where supported.</w:t>
      </w:r>
    </w:p>
    <w:p>
      <w:pPr/>
      <w:r>
        <w:t xml:space="preserve">The PRD does not specify browser/OS support, device matrix, environment URLs, identity-provider configuration, test data, or access to production-like load infrastructure. The project team must confirm these before execution. Do not use real user credentials or personal data in test cases.</w:t>
      </w:r>
    </w:p>
    <w:p>
      <w:pPr>
        <w:pStyle w:val="Heading1"/>
        <w:keepNext/>
      </w:pPr>
      <w:r>
        <w:t xml:space="preserve">Defect Reporting Procedure</w:t>
      </w:r>
    </w:p>
    <w:p>
      <w:pPr/>
      <w:r>
        <w:t xml:space="preserve">Record each defect in the project-approved tracking system. Include a concise title, environment and browser/device, preconditions and test account type, reproducible steps, expected and actual results, evidence with sensitive data removed, severity/priority, and the affected requirement or test case. Triage security and privacy issues through the approved restricted process. Retest fixes in the originating environment and run relevant regression checks.</w:t>
      </w:r>
    </w:p>
    <w:p>
      <w:pPr/>
      <w:r>
        <w:t xml:space="preserve">The tracker, severity definitions, response targets, and escalation contacts are not specified in the PRD and must be confirmed by the project team.</w:t>
      </w:r>
    </w:p>
    <w:p>
      <w:pPr>
        <w:pStyle w:val="Heading1"/>
        <w:keepNext/>
      </w:pPr>
      <w:r>
        <w:t xml:space="preserve">Test Strategy</w:t>
      </w:r>
    </w:p>
    <w:p>
      <w:pPr>
        <w:pStyle w:val="ListParagraph"/>
        <w:ind w:left="360"/>
      </w:pPr>
      <w:r>
        <w:t xml:space="preserve">1. </w:t>
      </w:r>
      <w:r>
        <w:rPr>
          <w:b/>
          <w:color w:val="173D66"/>
        </w:rPr>
        <w:t xml:space="preserve">Requirements review:</w:t>
      </w:r>
      <w:r>
        <w:t xml:space="preserve"> Map each functional and non-functional requirement to one or more test cases. Resolve ambiguities before treating optional capabilities as release blockers.</w:t>
      </w:r>
    </w:p>
    <w:p>
      <w:pPr>
        <w:pStyle w:val="ListParagraph"/>
        <w:ind w:left="360"/>
      </w:pPr>
      <w:r>
        <w:t xml:space="preserve">2. </w:t>
      </w:r>
      <w:r>
        <w:rPr>
          <w:b/>
          <w:color w:val="173D66"/>
        </w:rPr>
        <w:t xml:space="preserve">Functional testing:</w:t>
      </w:r>
      <w:r>
        <w:t xml:space="preserve"> Exercise valid and invalid login, field validation, recovery, remember-me, sessions, themes, registration navigation, loading, and success/error states.</w:t>
      </w:r>
    </w:p>
    <w:p>
      <w:pPr>
        <w:pStyle w:val="ListParagraph"/>
        <w:ind w:left="360"/>
      </w:pPr>
      <w:r>
        <w:t xml:space="preserve">3. </w:t>
      </w:r>
      <w:r>
        <w:rPr>
          <w:b/>
          <w:color w:val="173D66"/>
        </w:rPr>
        <w:t xml:space="preserve">Integration testing:</w:t>
      </w:r>
      <w:r>
        <w:t xml:space="preserve"> Verify the authenticated transition to the VWO dashboard and behavior of enabled analytics, support, SSO, MFA, email, and social identity integrations.</w:t>
      </w:r>
    </w:p>
    <w:p>
      <w:pPr>
        <w:pStyle w:val="ListParagraph"/>
        <w:ind w:left="360"/>
      </w:pPr>
      <w:r>
        <w:t xml:space="preserve">4. </w:t>
      </w:r>
      <w:r>
        <w:rPr>
          <w:b/>
          <w:color w:val="173D66"/>
        </w:rPr>
        <w:t xml:space="preserve">Compatibility and accessibility:</w:t>
      </w:r>
      <w:r>
        <w:t xml:space="preserve"> Test the confirmed browser/device matrix at mobile and desktop sizes; check keyboard-only use, focus order/visibility, labels, screen-reader announcements, contrast/high-contrast behavior, and WCAG 2.1 AA criteria.</w:t>
      </w:r>
    </w:p>
    <w:p>
      <w:pPr>
        <w:pStyle w:val="ListParagraph"/>
        <w:ind w:left="360"/>
      </w:pPr>
      <w:r>
        <w:t xml:space="preserve">5. </w:t>
      </w:r>
      <w:r>
        <w:rPr>
          <w:b/>
          <w:color w:val="173D66"/>
        </w:rPr>
        <w:t xml:space="preserve">Security testing:</w:t>
      </w:r>
      <w:r>
        <w:t xml:space="preserve"> Validate security requirements using approved test accounts and authorized test environments. Include rate-limit behavior and session protections; coordinate deeper security assessment with the authorized security team. Do not conduct destructive or out-of-scope testing.</w:t>
      </w:r>
    </w:p>
    <w:p>
      <w:pPr>
        <w:pStyle w:val="ListParagraph"/>
        <w:ind w:left="360"/>
      </w:pPr>
      <w:r>
        <w:t xml:space="preserve">6. </w:t>
      </w:r>
      <w:r>
        <w:rPr>
          <w:b/>
          <w:color w:val="173D66"/>
        </w:rPr>
        <w:t xml:space="preserve">Performance and reliability:</w:t>
      </w:r>
      <w:r>
        <w:t xml:space="preserve"> Measure login-page load against the 2-second target on the agreed standard connection, exercise the agreed concurrent-login profile, and verify monitoring/evidence for availability and geographic performance targets.</w:t>
      </w:r>
    </w:p>
    <w:p>
      <w:pPr>
        <w:pStyle w:val="ListParagraph"/>
        <w:ind w:left="360"/>
      </w:pPr>
      <w:r>
        <w:t xml:space="preserve">7. </w:t>
      </w:r>
      <w:r>
        <w:rPr>
          <w:b/>
          <w:color w:val="173D66"/>
        </w:rPr>
        <w:t xml:space="preserve">Regression testing:</w:t>
      </w:r>
      <w:r>
        <w:t xml:space="preserve"> Rerun affected login, recovery, session, integration, accessibility, and responsive cases after relevant changes.</w:t>
      </w:r>
    </w:p>
    <w:p>
      <w:pPr>
        <w:pStyle w:val="ListParagraph"/>
        <w:ind w:left="360"/>
      </w:pPr>
      <w:r>
        <w:t xml:space="preserve">8. </w:t>
      </w:r>
      <w:r>
        <w:rPr>
          <w:b/>
          <w:color w:val="173D66"/>
        </w:rPr>
        <w:t xml:space="preserve">Metrics validation:</w:t>
      </w:r>
      <w:r>
        <w:t xml:space="preserve"> Confirm how login success rate, satisfaction, support volume, uptime, and security outcomes are measured. Report observed values against PRD targets when reliable measurement data exists; do not infer a metric from a small functional test sample.</w:t>
      </w:r>
    </w:p>
    <w:p>
      <w:pPr>
        <w:pStyle w:val="Heading1"/>
        <w:keepNext/>
      </w:pPr>
      <w:r>
        <w:t xml:space="preserve">Test Schedule</w:t>
      </w:r>
    </w:p>
    <w:p>
      <w:pPr/>
      <w:r>
        <w:t xml:space="preserve">The PRD provides implementation phases but no dates or estimates. Execute testing in these release-aligned stages:</w:t>
      </w:r>
    </w:p>
    <w:tbl>
      <w:tblPr>
        <w:tblW w:w="9360" w:type="dxa"/>
        <w:tblLayout w:type="fixed"/>
        <w:tblBorders>
          <w:top w:val="single" w:sz="5" w:color="C8D4E0"/>
          <w:left w:val="single" w:sz="5" w:color="C8D4E0"/>
          <w:bottom w:val="single" w:sz="5" w:color="C8D4E0"/>
          <w:right w:val="single" w:sz="5" w:color="C8D4E0"/>
          <w:insideH w:val="single" w:sz="4" w:color="D6DEE8"/>
          <w:insideV w:val="single" w:sz="4" w:color="D6DEE8"/>
        </w:tblBorders>
        <w:tblCellMar>
          <w:top w:w="75" w:type="dxa"/>
          <w:left w:w="80" w:type="dxa"/>
          <w:bottom w:w="75" w:type="dxa"/>
          <w:right w:w="80" w:type="dxa"/>
        </w:tblCellMar>
      </w:tblPr>
      <w:tblGrid>
        <w:gridCol w:w="2050"/>
        <w:gridCol w:w="4050"/>
        <w:gridCol w:w="3260"/>
      </w:tblGrid>
      <w:tr>
        <w:trPr>
          <w:tblHeader w:val="true"/>
          <w:cantSplit/>
        </w:trPr>
        <w:tc>
          <w:tcPr>
            <w:tcW w:w="2050" w:type="dxa"/>
            <w:shd w:fill="EAF1F8"/>
            <w:vAlign w:val="top"/>
          </w:tcPr>
          <w:p>
            <w:pPr>
              <w:spacing w:after="40"/>
            </w:pPr>
            <w:r>
              <w:t xml:space="preserve">Stage</w:t>
            </w:r>
          </w:p>
        </w:tc>
        <w:tc>
          <w:tcPr>
            <w:tcW w:w="4050" w:type="dxa"/>
            <w:shd w:fill="EAF1F8"/>
            <w:vAlign w:val="top"/>
          </w:tcPr>
          <w:p>
            <w:pPr>
              <w:spacing w:after="40"/>
            </w:pPr>
            <w:r>
              <w:t xml:space="preserve">Focus</w:t>
            </w:r>
          </w:p>
        </w:tc>
        <w:tc>
          <w:tcPr>
            <w:tcW w:w="3260" w:type="dxa"/>
            <w:shd w:fill="EAF1F8"/>
            <w:vAlign w:val="top"/>
          </w:tcPr>
          <w:p>
            <w:pPr>
              <w:spacing w:after="40"/>
            </w:pPr>
            <w:r>
              <w:t xml:space="preserve">Suggested timing</w:t>
            </w:r>
          </w:p>
        </w:tc>
      </w:tr>
      <w:tr>
        <w:trPr>
          <w:cantSplit/>
        </w:trPr>
        <w:tc>
          <w:tcPr>
            <w:tcW w:w="2050" w:type="dxa"/>
            <w:vAlign w:val="top"/>
          </w:tcPr>
          <w:p>
            <w:pPr>
              <w:spacing w:after="40"/>
            </w:pPr>
            <w:r>
              <w:t xml:space="preserve">Phase 1: Core Authentication</w:t>
            </w:r>
          </w:p>
        </w:tc>
        <w:tc>
          <w:tcPr>
            <w:tcW w:w="4050" w:type="dxa"/>
            <w:vAlign w:val="top"/>
          </w:tcPr>
          <w:p>
            <w:pPr>
              <w:spacing w:after="40"/>
            </w:pPr>
            <w:r>
              <w:t xml:space="preserve">Login, validation, errors, password reset, and core security checks</w:t>
            </w:r>
          </w:p>
        </w:tc>
        <w:tc>
          <w:tcPr>
            <w:tcW w:w="3260" w:type="dxa"/>
            <w:vAlign w:val="top"/>
          </w:tcPr>
          <w:p>
            <w:pPr>
              <w:spacing w:after="40"/>
            </w:pPr>
            <w:r>
              <w:t xml:space="preserve">After core authentication is testable</w:t>
            </w:r>
          </w:p>
        </w:tc>
      </w:tr>
      <w:tr>
        <w:trPr>
          <w:cantSplit/>
        </w:trPr>
        <w:tc>
          <w:tcPr>
            <w:tcW w:w="2050" w:type="dxa"/>
            <w:shd w:fill="F4F7FB"/>
            <w:vAlign w:val="top"/>
          </w:tcPr>
          <w:p>
            <w:pPr>
              <w:spacing w:after="40"/>
            </w:pPr>
            <w:r>
              <w:t xml:space="preserve">Phase 2: Enhanced UX</w:t>
            </w:r>
          </w:p>
        </w:tc>
        <w:tc>
          <w:tcPr>
            <w:tcW w:w="4050" w:type="dxa"/>
            <w:shd w:fill="F4F7FB"/>
            <w:vAlign w:val="top"/>
          </w:tcPr>
          <w:p>
            <w:pPr>
              <w:spacing w:after="40"/>
            </w:pPr>
            <w:r>
              <w:t xml:space="preserve">Responsive behavior, accessibility, themes, loading states, and advanced validation</w:t>
            </w:r>
          </w:p>
        </w:tc>
        <w:tc>
          <w:tcPr>
            <w:tcW w:w="3260" w:type="dxa"/>
            <w:shd w:fill="F4F7FB"/>
            <w:vAlign w:val="top"/>
          </w:tcPr>
          <w:p>
            <w:pPr>
              <w:spacing w:after="40"/>
            </w:pPr>
            <w:r>
              <w:t xml:space="preserve">After the enhanced UX build is available</w:t>
            </w:r>
          </w:p>
        </w:tc>
      </w:tr>
      <w:tr>
        <w:trPr>
          <w:cantSplit/>
        </w:trPr>
        <w:tc>
          <w:tcPr>
            <w:tcW w:w="2050" w:type="dxa"/>
            <w:vAlign w:val="top"/>
          </w:tcPr>
          <w:p>
            <w:pPr>
              <w:spacing w:after="40"/>
            </w:pPr>
            <w:r>
              <w:t xml:space="preserve">Phase 3: Enterprise Features</w:t>
            </w:r>
          </w:p>
        </w:tc>
        <w:tc>
          <w:tcPr>
            <w:tcW w:w="4050" w:type="dxa"/>
            <w:vAlign w:val="top"/>
          </w:tcPr>
          <w:p>
            <w:pPr>
              <w:spacing w:after="40"/>
            </w:pPr>
            <w:r>
              <w:t xml:space="preserve">Configured SSO/MFA, security features, analytics, monitoring, and integration checks</w:t>
            </w:r>
          </w:p>
        </w:tc>
        <w:tc>
          <w:tcPr>
            <w:tcW w:w="3260" w:type="dxa"/>
            <w:vAlign w:val="top"/>
          </w:tcPr>
          <w:p>
            <w:pPr>
              <w:spacing w:after="40"/>
            </w:pPr>
            <w:r>
              <w:t xml:space="preserve">After enterprise integrations are available</w:t>
            </w:r>
          </w:p>
        </w:tc>
      </w:tr>
      <w:tr>
        <w:trPr>
          <w:cantSplit/>
        </w:trPr>
        <w:tc>
          <w:tcPr>
            <w:tcW w:w="2050" w:type="dxa"/>
            <w:shd w:fill="F4F7FB"/>
            <w:vAlign w:val="top"/>
          </w:tcPr>
          <w:p>
            <w:pPr>
              <w:spacing w:after="40"/>
            </w:pPr>
            <w:r>
              <w:t xml:space="preserve">Release regression</w:t>
            </w:r>
          </w:p>
        </w:tc>
        <w:tc>
          <w:tcPr>
            <w:tcW w:w="4050" w:type="dxa"/>
            <w:shd w:fill="F4F7FB"/>
            <w:vAlign w:val="top"/>
          </w:tcPr>
          <w:p>
            <w:pPr>
              <w:spacing w:after="40"/>
            </w:pPr>
            <w:r>
              <w:t xml:space="preserve">Recheck critical flows and resolved defects across the agreed matrix</w:t>
            </w:r>
          </w:p>
        </w:tc>
        <w:tc>
          <w:tcPr>
            <w:tcW w:w="3260" w:type="dxa"/>
            <w:shd w:fill="F4F7FB"/>
            <w:vAlign w:val="top"/>
          </w:tcPr>
          <w:p>
            <w:pPr>
              <w:spacing w:after="40"/>
            </w:pPr>
            <w:r>
              <w:t xml:space="preserve">Before release approval</w:t>
            </w:r>
          </w:p>
        </w:tc>
      </w:tr>
    </w:tbl>
    <w:p>
      <w:pPr/>
    </w:p>
    <w:p>
      <w:pPr/>
      <w:r>
        <w:t xml:space="preserve">Dates, durations, owners, and environment availability are TBD by the project team.</w:t>
      </w:r>
    </w:p>
    <w:p>
      <w:pPr>
        <w:pStyle w:val="Heading1"/>
        <w:keepNext/>
      </w:pPr>
      <w:r>
        <w:t xml:space="preserve">Test Deliverables</w:t>
      </w:r>
    </w:p>
    <w:p>
      <w:pPr>
        <w:pStyle w:val="ListParagraph"/>
        <w:ind w:left="360"/>
      </w:pPr>
      <w:r>
        <w:t xml:space="preserve">? Requirement-to-test traceability and the test cases/results.</w:t>
      </w:r>
    </w:p>
    <w:p>
      <w:pPr>
        <w:pStyle w:val="ListParagraph"/>
        <w:ind w:left="360"/>
      </w:pPr>
      <w:r>
        <w:t xml:space="preserve">? Test data and environment readiness record, excluding secrets and personal data.</w:t>
      </w:r>
    </w:p>
    <w:p>
      <w:pPr>
        <w:pStyle w:val="ListParagraph"/>
        <w:ind w:left="360"/>
      </w:pPr>
      <w:r>
        <w:t xml:space="preserve">? Defect log with retest outcomes.</w:t>
      </w:r>
    </w:p>
    <w:p>
      <w:pPr>
        <w:pStyle w:val="ListParagraph"/>
        <w:ind w:left="360"/>
      </w:pPr>
      <w:r>
        <w:t xml:space="preserve">? Functional, compatibility, accessibility, security-coordination, and performance summaries.</w:t>
      </w:r>
    </w:p>
    <w:p>
      <w:pPr>
        <w:pStyle w:val="ListParagraph"/>
        <w:ind w:left="360"/>
      </w:pPr>
      <w:r>
        <w:t xml:space="preserve">? Release test summary documenting pass/fail/blocked status, unresolved risks, metric evidence, and approval decision.</w:t>
      </w:r>
    </w:p>
    <w:p>
      <w:pPr>
        <w:pStyle w:val="Heading1"/>
        <w:keepNext/>
      </w:pPr>
      <w:r>
        <w:t xml:space="preserve">Entry and Exit Criteria</w:t>
      </w:r>
    </w:p>
    <w:p>
      <w:pPr>
        <w:pStyle w:val="Heading2"/>
        <w:keepNext/>
      </w:pPr>
      <w:r>
        <w:t xml:space="preserve">Entry Criteria</w:t>
      </w:r>
    </w:p>
    <w:p>
      <w:pPr>
        <w:pStyle w:val="ListParagraph"/>
        <w:ind w:left="360"/>
      </w:pPr>
      <w:r>
        <w:t xml:space="preserve">? The release build and approved test environment are available over HTTPS.</w:t>
      </w:r>
    </w:p>
    <w:p>
      <w:pPr>
        <w:pStyle w:val="ListParagraph"/>
        <w:ind w:left="360"/>
      </w:pPr>
      <w:r>
        <w:t xml:space="preserve">? Requirements, supported browser/device matrix, enabled integrations, and optional feature scope are confirmed.</w:t>
      </w:r>
    </w:p>
    <w:p>
      <w:pPr>
        <w:pStyle w:val="ListParagraph"/>
        <w:ind w:left="360"/>
      </w:pPr>
      <w:r>
        <w:t xml:space="preserve">? Test accounts and safe test data are available, including configured MFA/SSO accounts where applicable.</w:t>
      </w:r>
    </w:p>
    <w:p>
      <w:pPr>
        <w:pStyle w:val="ListParagraph"/>
        <w:ind w:left="360"/>
      </w:pPr>
      <w:r>
        <w:t xml:space="preserve">? Critical integrations and test monitoring are available, and the defect reporting process is agreed.</w:t>
      </w:r>
    </w:p>
    <w:p>
      <w:pPr>
        <w:pStyle w:val="ListParagraph"/>
        <w:ind w:left="360"/>
      </w:pPr>
      <w:r>
        <w:t xml:space="preserve">? No known blocker prevents execution of the planned critical paths.</w:t>
      </w:r>
    </w:p>
    <w:p>
      <w:pPr>
        <w:pStyle w:val="Heading2"/>
        <w:keepNext/>
      </w:pPr>
      <w:r>
        <w:t xml:space="preserve">Exit Criteria</w:t>
      </w:r>
    </w:p>
    <w:p>
      <w:pPr>
        <w:pStyle w:val="ListParagraph"/>
        <w:ind w:left="360"/>
      </w:pPr>
      <w:r>
        <w:t xml:space="preserve">? All in-scope test cases have a recorded result; blocked or deferred tests have an owner and rationale.</w:t>
      </w:r>
    </w:p>
    <w:p>
      <w:pPr>
        <w:pStyle w:val="ListParagraph"/>
        <w:ind w:left="360"/>
      </w:pPr>
      <w:r>
        <w:t xml:space="preserve">? No unresolved critical or high-severity defects remain unless explicitly accepted by the release approver.</w:t>
      </w:r>
    </w:p>
    <w:p>
      <w:pPr>
        <w:pStyle w:val="ListParagraph"/>
        <w:ind w:left="360"/>
      </w:pPr>
      <w:r>
        <w:t xml:space="preserve">? Critical login, recovery, session, and dashboard-transition flows pass on the agreed supported matrix.</w:t>
      </w:r>
    </w:p>
    <w:p>
      <w:pPr>
        <w:pStyle w:val="ListParagraph"/>
        <w:ind w:left="360"/>
      </w:pPr>
      <w:r>
        <w:t xml:space="preserve">? Accessibility, security, performance, and reliability findings are documented and dispositioned by their responsible owners.</w:t>
      </w:r>
    </w:p>
    <w:p>
      <w:pPr>
        <w:pStyle w:val="ListParagraph"/>
        <w:ind w:left="360"/>
      </w:pPr>
      <w:r>
        <w:t xml:space="preserve">? Available measurements are compared with PRD targets: 95%+ login success rate, login page load within 2 seconds, 99.9% uptime, 90%+ login-experience satisfaction, 20% reduction in login-related support tickets, and stated security/compliance goals. Measurement periods, sources, and acceptance ownership must be agreed; the PRD does not define them.</w:t>
      </w:r>
    </w:p>
    <w:p>
      <w:pPr>
        <w:pStyle w:val="ListParagraph"/>
        <w:ind w:left="360"/>
      </w:pPr>
      <w:r>
        <w:t xml:space="preserve">? Test summary and residual risks are reviewed for release approval.</w:t>
      </w:r>
    </w:p>
    <w:p>
      <w:pPr>
        <w:pStyle w:val="Heading1"/>
        <w:keepNext/>
      </w:pPr>
      <w:r>
        <w:t xml:space="preserve">Test Execution</w:t>
      </w:r>
    </w:p>
    <w:p>
      <w:pPr>
        <w:pStyle w:val="Heading2"/>
        <w:keepNext/>
      </w:pPr>
      <w:r>
        <w:t xml:space="preserve">Execution Entry Criteria</w:t>
      </w:r>
    </w:p>
    <w:p>
      <w:pPr>
        <w:pStyle w:val="ListParagraph"/>
        <w:ind w:left="360"/>
      </w:pPr>
      <w:r>
        <w:t xml:space="preserve">? Entry criteria above are met for the test stage.</w:t>
      </w:r>
    </w:p>
    <w:p>
      <w:pPr>
        <w:pStyle w:val="ListParagraph"/>
        <w:ind w:left="360"/>
      </w:pPr>
      <w:r>
        <w:t xml:space="preserve">? The build/version, environment, and test data are recorded.</w:t>
      </w:r>
    </w:p>
    <w:p>
      <w:pPr>
        <w:pStyle w:val="ListParagraph"/>
        <w:ind w:left="360"/>
      </w:pPr>
      <w:r>
        <w:t xml:space="preserve">? Testers have the required approved access and know the escalation route for security/privacy issues.</w:t>
      </w:r>
    </w:p>
    <w:p>
      <w:pPr>
        <w:pStyle w:val="Heading2"/>
        <w:keepNext/>
      </w:pPr>
      <w:r>
        <w:t xml:space="preserve">Execution Exit Criteria</w:t>
      </w:r>
    </w:p>
    <w:p>
      <w:pPr>
        <w:pStyle w:val="ListParagraph"/>
        <w:ind w:left="360"/>
      </w:pPr>
      <w:r>
        <w:t xml:space="preserve">? Results and evidence are recorded for executed cases.</w:t>
      </w:r>
    </w:p>
    <w:p>
      <w:pPr>
        <w:pStyle w:val="ListParagraph"/>
        <w:ind w:left="360"/>
      </w:pPr>
      <w:r>
        <w:t xml:space="preserve">? Defects are filed, prioritized, and linked to affected requirements; fixes are retested.</w:t>
      </w:r>
    </w:p>
    <w:p>
      <w:pPr>
        <w:pStyle w:val="ListParagraph"/>
        <w:ind w:left="360"/>
      </w:pPr>
      <w:r>
        <w:t xml:space="preserve">? Failed, blocked, and not-run cases are clearly distinguished and reported.</w:t>
      </w:r>
    </w:p>
    <w:p>
      <w:pPr>
        <w:pStyle w:val="ListParagraph"/>
        <w:ind w:left="360"/>
      </w:pPr>
      <w:r>
        <w:t xml:space="preserve">? Regression for changed areas is complete or explicitly identified as outstanding.</w:t>
      </w:r>
    </w:p>
    <w:p>
      <w:pPr>
        <w:pStyle w:val="Heading1"/>
        <w:keepNext/>
      </w:pPr>
      <w:r>
        <w:t xml:space="preserve">Test Closure</w:t>
      </w:r>
    </w:p>
    <w:p>
      <w:pPr>
        <w:pStyle w:val="Heading2"/>
        <w:keepNext/>
      </w:pPr>
      <w:r>
        <w:t xml:space="preserve">Closure Entry Criteria</w:t>
      </w:r>
    </w:p>
    <w:p>
      <w:pPr>
        <w:pStyle w:val="ListParagraph"/>
        <w:ind w:left="360"/>
      </w:pPr>
      <w:r>
        <w:t xml:space="preserve">? Planned execution is complete or remaining work has an agreed disposition.</w:t>
      </w:r>
    </w:p>
    <w:p>
      <w:pPr>
        <w:pStyle w:val="ListParagraph"/>
        <w:ind w:left="360"/>
      </w:pPr>
      <w:r>
        <w:t xml:space="preserve">? Defect retesting and the release regression pass are complete.</w:t>
      </w:r>
    </w:p>
    <w:p>
      <w:pPr>
        <w:pStyle w:val="Heading2"/>
        <w:keepNext/>
      </w:pPr>
      <w:r>
        <w:t xml:space="preserve">Closure Exit Criteria</w:t>
      </w:r>
    </w:p>
    <w:p>
      <w:pPr>
        <w:pStyle w:val="ListParagraph"/>
        <w:ind w:left="360"/>
      </w:pPr>
      <w:r>
        <w:t xml:space="preserve">? The final test summary, traceability, defect status, and residual risks are delivered.</w:t>
      </w:r>
    </w:p>
    <w:p>
      <w:pPr>
        <w:pStyle w:val="ListParagraph"/>
        <w:ind w:left="360"/>
      </w:pPr>
      <w:r>
        <w:t xml:space="preserve">? Outstanding deviations from PRD targets are documented with an owner and decision.</w:t>
      </w:r>
    </w:p>
    <w:p>
      <w:pPr>
        <w:pStyle w:val="ListParagraph"/>
        <w:ind w:left="360"/>
      </w:pPr>
      <w:r>
        <w:t xml:space="preserve">? Required product, engineering, security, and accessibility approvals are recorded according to the project process.</w:t>
      </w:r>
    </w:p>
    <w:p>
      <w:pPr>
        <w:pStyle w:val="Heading1"/>
        <w:keepNext/>
      </w:pPr>
      <w:r>
        <w:t xml:space="preserve">Tools</w:t>
      </w:r>
    </w:p>
    <w:p>
      <w:pPr>
        <w:pStyle w:val="ListParagraph"/>
        <w:ind w:left="360"/>
      </w:pPr>
      <w:r>
        <w:t xml:space="preserve">? Playwright with TypeScript for browser-based functional and responsive checks, consistent with the skill metadata.</w:t>
      </w:r>
    </w:p>
    <w:p>
      <w:pPr>
        <w:pStyle w:val="ListParagraph"/>
        <w:ind w:left="360"/>
      </w:pPr>
      <w:r>
        <w:t xml:space="preserve">? Browser/device and screen-reader tools selected to match the confirmed support matrix.</w:t>
      </w:r>
    </w:p>
    <w:p>
      <w:pPr>
        <w:pStyle w:val="ListParagraph"/>
        <w:ind w:left="360"/>
      </w:pPr>
      <w:r>
        <w:t xml:space="preserve">? Approved performance, security, analytics, and defect-tracking tools are TBD; the PRD does not name specific products.</w:t>
      </w:r>
    </w:p>
    <w:p>
      <w:pPr>
        <w:pStyle w:val="Heading1"/>
        <w:keepNext/>
      </w:pPr>
      <w:r>
        <w:t xml:space="preserve">Risks and Mitigations</w:t>
      </w:r>
    </w:p>
    <w:tbl>
      <w:tblPr>
        <w:tblW w:w="9360" w:type="dxa"/>
        <w:tblLayout w:type="fixed"/>
        <w:tblBorders>
          <w:top w:val="single" w:sz="5" w:color="C8D4E0"/>
          <w:left w:val="single" w:sz="5" w:color="C8D4E0"/>
          <w:bottom w:val="single" w:sz="5" w:color="C8D4E0"/>
          <w:right w:val="single" w:sz="5" w:color="C8D4E0"/>
          <w:insideH w:val="single" w:sz="4" w:color="D6DEE8"/>
          <w:insideV w:val="single" w:sz="4" w:color="D6DEE8"/>
        </w:tblBorders>
        <w:tblCellMar>
          <w:top w:w="75" w:type="dxa"/>
          <w:left w:w="80" w:type="dxa"/>
          <w:bottom w:w="75" w:type="dxa"/>
          <w:right w:w="80" w:type="dxa"/>
        </w:tblCellMar>
      </w:tblPr>
      <w:tblGrid>
        <w:gridCol w:w="2350"/>
        <w:gridCol w:w="7010"/>
      </w:tblGrid>
      <w:tr>
        <w:trPr>
          <w:tblHeader w:val="true"/>
          <w:cantSplit/>
        </w:trPr>
        <w:tc>
          <w:tcPr>
            <w:tcW w:w="2350" w:type="dxa"/>
            <w:shd w:fill="EAF1F8"/>
            <w:vAlign w:val="top"/>
          </w:tcPr>
          <w:p>
            <w:pPr>
              <w:spacing w:after="40"/>
            </w:pPr>
            <w:r>
              <w:t xml:space="preserve">Risk</w:t>
            </w:r>
          </w:p>
        </w:tc>
        <w:tc>
          <w:tcPr>
            <w:tcW w:w="7010" w:type="dxa"/>
            <w:shd w:fill="EAF1F8"/>
            <w:vAlign w:val="top"/>
          </w:tcPr>
          <w:p>
            <w:pPr>
              <w:spacing w:after="40"/>
            </w:pPr>
            <w:r>
              <w:t xml:space="preserve">Mitigation</w:t>
            </w:r>
          </w:p>
        </w:tc>
      </w:tr>
      <w:tr>
        <w:trPr>
          <w:cantSplit/>
        </w:trPr>
        <w:tc>
          <w:tcPr>
            <w:tcW w:w="2350" w:type="dxa"/>
            <w:vAlign w:val="top"/>
          </w:tcPr>
          <w:p>
            <w:pPr>
              <w:spacing w:after="40"/>
            </w:pPr>
            <w:r>
              <w:t xml:space="preserve">Optional MFA, SSO, social login, and recovery behavior are underspecified or unavailable.</w:t>
            </w:r>
          </w:p>
        </w:tc>
        <w:tc>
          <w:tcPr>
            <w:tcW w:w="7010" w:type="dxa"/>
            <w:vAlign w:val="top"/>
          </w:tcPr>
          <w:p>
            <w:pPr>
              <w:spacing w:after="40"/>
            </w:pPr>
            <w:r>
              <w:t xml:space="preserve">Confirm release scope, protocols, providers, and test accounts before execution; report unavailable coverage as blocked, not passed.</w:t>
            </w:r>
          </w:p>
        </w:tc>
      </w:tr>
      <w:tr>
        <w:trPr>
          <w:cantSplit/>
        </w:trPr>
        <w:tc>
          <w:tcPr>
            <w:tcW w:w="2350" w:type="dxa"/>
            <w:shd w:fill="F4F7FB"/>
            <w:vAlign w:val="top"/>
          </w:tcPr>
          <w:p>
            <w:pPr>
              <w:spacing w:after="40"/>
            </w:pPr>
            <w:r>
              <w:t xml:space="preserve">Security tests or account lockout/rate limiting could affect shared systems or users.</w:t>
            </w:r>
          </w:p>
        </w:tc>
        <w:tc>
          <w:tcPr>
            <w:tcW w:w="7010" w:type="dxa"/>
            <w:shd w:fill="F4F7FB"/>
            <w:vAlign w:val="top"/>
          </w:tcPr>
          <w:p>
            <w:pPr>
              <w:spacing w:after="40"/>
            </w:pPr>
            <w:r>
              <w:t xml:space="preserve">Run only approved checks in isolated test environments with dedicated accounts; coordinate with the authorized security team.</w:t>
            </w:r>
          </w:p>
        </w:tc>
      </w:tr>
      <w:tr>
        <w:trPr>
          <w:cantSplit/>
        </w:trPr>
        <w:tc>
          <w:tcPr>
            <w:tcW w:w="2350" w:type="dxa"/>
            <w:vAlign w:val="top"/>
          </w:tcPr>
          <w:p>
            <w:pPr>
              <w:spacing w:after="40"/>
            </w:pPr>
            <w:r>
              <w:t xml:space="preserve">Performance and availability targets lack workload profiles, measurement windows, and environment definitions.</w:t>
            </w:r>
          </w:p>
        </w:tc>
        <w:tc>
          <w:tcPr>
            <w:tcW w:w="7010" w:type="dxa"/>
            <w:vAlign w:val="top"/>
          </w:tcPr>
          <w:p>
            <w:pPr>
              <w:spacing w:after="40"/>
            </w:pPr>
            <w:r>
              <w:t xml:space="preserve">Agree on the standard connection, concurrency profile, regions, and measurement method before benchmarking.</w:t>
            </w:r>
          </w:p>
        </w:tc>
      </w:tr>
      <w:tr>
        <w:trPr>
          <w:cantSplit/>
        </w:trPr>
        <w:tc>
          <w:tcPr>
            <w:tcW w:w="2350" w:type="dxa"/>
            <w:shd w:fill="F4F7FB"/>
            <w:vAlign w:val="top"/>
          </w:tcPr>
          <w:p>
            <w:pPr>
              <w:spacing w:after="40"/>
            </w:pPr>
            <w:r>
              <w:t xml:space="preserve">GDPR/CCPA, audit, and enterprise policy expectations are not mapped to specific controls.</w:t>
            </w:r>
          </w:p>
        </w:tc>
        <w:tc>
          <w:tcPr>
            <w:tcW w:w="7010" w:type="dxa"/>
            <w:shd w:fill="F4F7FB"/>
            <w:vAlign w:val="top"/>
          </w:tcPr>
          <w:p>
            <w:pPr>
              <w:spacing w:after="40"/>
            </w:pPr>
            <w:r>
              <w:t xml:space="preserve">Obtain compliance/security acceptance criteria and evidence requirements from the responsible owners.</w:t>
            </w:r>
          </w:p>
        </w:tc>
      </w:tr>
      <w:tr>
        <w:trPr>
          <w:cantSplit/>
        </w:trPr>
        <w:tc>
          <w:tcPr>
            <w:tcW w:w="2350" w:type="dxa"/>
            <w:vAlign w:val="top"/>
          </w:tcPr>
          <w:p>
            <w:pPr>
              <w:spacing w:after="40"/>
            </w:pPr>
            <w:r>
              <w:t xml:space="preserve">The 95% login success, 90% satisfaction, and 20% support-ticket reduction targets depend on aggregate data outside a test run.</w:t>
            </w:r>
          </w:p>
        </w:tc>
        <w:tc>
          <w:tcPr>
            <w:tcW w:w="7010" w:type="dxa"/>
            <w:vAlign w:val="top"/>
          </w:tcPr>
          <w:p>
            <w:pPr>
              <w:spacing w:after="40"/>
            </w:pPr>
            <w:r>
              <w:t xml:space="preserve">Define analytics sources and reporting periods; validate instrumentation and report actual trends separately from functional pass/fail.</w:t>
            </w:r>
          </w:p>
        </w:tc>
      </w:tr>
      <w:tr>
        <w:trPr>
          <w:cantSplit/>
        </w:trPr>
        <w:tc>
          <w:tcPr>
            <w:tcW w:w="2350" w:type="dxa"/>
            <w:shd w:fill="F4F7FB"/>
            <w:vAlign w:val="top"/>
          </w:tcPr>
          <w:p>
            <w:pPr>
              <w:spacing w:after="40"/>
            </w:pPr>
            <w:r>
              <w:t xml:space="preserve">Browser/device support and defect triage rules are absent from the PRD.</w:t>
            </w:r>
          </w:p>
        </w:tc>
        <w:tc>
          <w:tcPr>
            <w:tcW w:w="7010" w:type="dxa"/>
            <w:shd w:fill="F4F7FB"/>
            <w:vAlign w:val="top"/>
          </w:tcPr>
          <w:p>
            <w:pPr>
              <w:spacing w:after="40"/>
            </w:pPr>
            <w:r>
              <w:t xml:space="preserve">Confirm the matrix and project defect workflow before test execution.</w:t>
            </w:r>
          </w:p>
        </w:tc>
      </w:tr>
    </w:tbl>
    <w:p>
      <w:pPr/>
    </w:p>
    <w:p>
      <w:pPr>
        <w:pStyle w:val="Heading1"/>
        <w:keepNext/>
      </w:pPr>
      <w:r>
        <w:t xml:space="preserve">Approvals</w:t>
      </w:r>
    </w:p>
    <w:tbl>
      <w:tblPr>
        <w:tblW w:w="9360" w:type="dxa"/>
        <w:tblLayout w:type="fixed"/>
        <w:tblBorders>
          <w:top w:val="single" w:sz="5" w:color="C8D4E0"/>
          <w:left w:val="single" w:sz="5" w:color="C8D4E0"/>
          <w:bottom w:val="single" w:sz="5" w:color="C8D4E0"/>
          <w:right w:val="single" w:sz="5" w:color="C8D4E0"/>
          <w:insideH w:val="single" w:sz="4" w:color="D6DEE8"/>
          <w:insideV w:val="single" w:sz="4" w:color="D6DEE8"/>
        </w:tblBorders>
        <w:tblCellMar>
          <w:top w:w="75" w:type="dxa"/>
          <w:left w:w="80" w:type="dxa"/>
          <w:bottom w:w="75" w:type="dxa"/>
          <w:right w:w="80" w:type="dxa"/>
        </w:tblCellMar>
      </w:tblPr>
      <w:tblGrid>
        <w:gridCol w:w="2340"/>
        <w:gridCol w:w="2340"/>
        <w:gridCol w:w="2340"/>
        <w:gridCol w:w="2340"/>
      </w:tblGrid>
      <w:tr>
        <w:trPr>
          <w:tblHeader w:val="true"/>
          <w:cantSplit/>
        </w:trPr>
        <w:tc>
          <w:tcPr>
            <w:tcW w:w="2340" w:type="dxa"/>
            <w:shd w:fill="EAF1F8"/>
            <w:vAlign w:val="top"/>
          </w:tcPr>
          <w:p>
            <w:pPr>
              <w:spacing w:after="40"/>
            </w:pPr>
            <w:r>
              <w:t xml:space="preserve">Role</w:t>
            </w:r>
          </w:p>
        </w:tc>
        <w:tc>
          <w:tcPr>
            <w:tcW w:w="2340" w:type="dxa"/>
            <w:shd w:fill="EAF1F8"/>
            <w:vAlign w:val="top"/>
          </w:tcPr>
          <w:p>
            <w:pPr>
              <w:spacing w:after="40"/>
            </w:pPr>
            <w:r>
              <w:t xml:space="preserve">Name</w:t>
            </w:r>
          </w:p>
        </w:tc>
        <w:tc>
          <w:tcPr>
            <w:tcW w:w="2340" w:type="dxa"/>
            <w:shd w:fill="EAF1F8"/>
            <w:vAlign w:val="top"/>
          </w:tcPr>
          <w:p>
            <w:pPr>
              <w:spacing w:after="40"/>
            </w:pPr>
            <w:r>
              <w:t xml:space="preserve">Decision</w:t>
            </w:r>
          </w:p>
        </w:tc>
        <w:tc>
          <w:tcPr>
            <w:tcW w:w="2340" w:type="dxa"/>
            <w:shd w:fill="EAF1F8"/>
            <w:vAlign w:val="top"/>
          </w:tcPr>
          <w:p>
            <w:pPr>
              <w:spacing w:after="40"/>
            </w:pPr>
            <w:r>
              <w:t xml:space="preserve">Date</w:t>
            </w:r>
          </w:p>
        </w:tc>
      </w:tr>
      <w:tr>
        <w:trPr>
          <w:cantSplit/>
        </w:trPr>
        <w:tc>
          <w:tcPr>
            <w:tcW w:w="2340" w:type="dxa"/>
            <w:vAlign w:val="top"/>
          </w:tcPr>
          <w:p>
            <w:pPr>
              <w:spacing w:after="40"/>
            </w:pPr>
            <w:r>
              <w:t xml:space="preserve">Product owner</w:t>
            </w:r>
          </w:p>
        </w:tc>
        <w:tc>
          <w:tcPr>
            <w:tcW w:w="2340" w:type="dxa"/>
            <w:vAlign w:val="top"/>
          </w:tcPr>
          <w:p>
            <w:pPr>
              <w:spacing w:after="40"/>
            </w:pPr>
            <w:r>
              <w:t xml:space="preserve">TBD</w:t>
            </w:r>
          </w:p>
        </w:tc>
        <w:tc>
          <w:tcPr>
            <w:tcW w:w="2340" w:type="dxa"/>
            <w:vAlign w:val="top"/>
          </w:tcPr>
          <w:p>
            <w:pPr>
              <w:spacing w:after="40"/>
            </w:pPr>
            <w:r>
              <w:t xml:space="preserve">TBD</w:t>
            </w:r>
          </w:p>
        </w:tc>
        <w:tc>
          <w:tcPr>
            <w:tcW w:w="2340" w:type="dxa"/>
            <w:vAlign w:val="top"/>
          </w:tcPr>
          <w:p>
            <w:pPr>
              <w:spacing w:after="40"/>
            </w:pPr>
            <w:r>
              <w:t xml:space="preserve">TBD</w:t>
            </w:r>
          </w:p>
        </w:tc>
      </w:tr>
      <w:tr>
        <w:trPr>
          <w:cantSplit/>
        </w:trPr>
        <w:tc>
          <w:tcPr>
            <w:tcW w:w="2340" w:type="dxa"/>
            <w:shd w:fill="F4F7FB"/>
            <w:vAlign w:val="top"/>
          </w:tcPr>
          <w:p>
            <w:pPr>
              <w:spacing w:after="40"/>
            </w:pPr>
            <w:r>
              <w:t xml:space="preserve">Engineering owner</w:t>
            </w:r>
          </w:p>
        </w:tc>
        <w:tc>
          <w:tcPr>
            <w:tcW w:w="2340" w:type="dxa"/>
            <w:shd w:fill="F4F7FB"/>
            <w:vAlign w:val="top"/>
          </w:tcPr>
          <w:p>
            <w:pPr>
              <w:spacing w:after="40"/>
            </w:pPr>
            <w:r>
              <w:t xml:space="preserve">TBD</w:t>
            </w:r>
          </w:p>
        </w:tc>
        <w:tc>
          <w:tcPr>
            <w:tcW w:w="2340" w:type="dxa"/>
            <w:shd w:fill="F4F7FB"/>
            <w:vAlign w:val="top"/>
          </w:tcPr>
          <w:p>
            <w:pPr>
              <w:spacing w:after="40"/>
            </w:pPr>
            <w:r>
              <w:t xml:space="preserve">TBD</w:t>
            </w:r>
          </w:p>
        </w:tc>
        <w:tc>
          <w:tcPr>
            <w:tcW w:w="2340" w:type="dxa"/>
            <w:shd w:fill="F4F7FB"/>
            <w:vAlign w:val="top"/>
          </w:tcPr>
          <w:p>
            <w:pPr>
              <w:spacing w:after="40"/>
            </w:pPr>
            <w:r>
              <w:t xml:space="preserve">TBD</w:t>
            </w:r>
          </w:p>
        </w:tc>
      </w:tr>
      <w:tr>
        <w:trPr>
          <w:cantSplit/>
        </w:trPr>
        <w:tc>
          <w:tcPr>
            <w:tcW w:w="2340" w:type="dxa"/>
            <w:vAlign w:val="top"/>
          </w:tcPr>
          <w:p>
            <w:pPr>
              <w:spacing w:after="40"/>
            </w:pPr>
            <w:r>
              <w:t xml:space="preserve">QA/test owner</w:t>
            </w:r>
          </w:p>
        </w:tc>
        <w:tc>
          <w:tcPr>
            <w:tcW w:w="2340" w:type="dxa"/>
            <w:vAlign w:val="top"/>
          </w:tcPr>
          <w:p>
            <w:pPr>
              <w:spacing w:after="40"/>
            </w:pPr>
            <w:r>
              <w:t xml:space="preserve">TBD</w:t>
            </w:r>
          </w:p>
        </w:tc>
        <w:tc>
          <w:tcPr>
            <w:tcW w:w="2340" w:type="dxa"/>
            <w:vAlign w:val="top"/>
          </w:tcPr>
          <w:p>
            <w:pPr>
              <w:spacing w:after="40"/>
            </w:pPr>
            <w:r>
              <w:t xml:space="preserve">TBD</w:t>
            </w:r>
          </w:p>
        </w:tc>
        <w:tc>
          <w:tcPr>
            <w:tcW w:w="2340" w:type="dxa"/>
            <w:vAlign w:val="top"/>
          </w:tcPr>
          <w:p>
            <w:pPr>
              <w:spacing w:after="40"/>
            </w:pPr>
            <w:r>
              <w:t xml:space="preserve">TBD</w:t>
            </w:r>
          </w:p>
        </w:tc>
      </w:tr>
      <w:tr>
        <w:trPr>
          <w:cantSplit/>
        </w:trPr>
        <w:tc>
          <w:tcPr>
            <w:tcW w:w="2340" w:type="dxa"/>
            <w:shd w:fill="F4F7FB"/>
            <w:vAlign w:val="top"/>
          </w:tcPr>
          <w:p>
            <w:pPr>
              <w:spacing w:after="40"/>
            </w:pPr>
            <w:r>
              <w:t xml:space="preserve">Security/compliance owner</w:t>
            </w:r>
          </w:p>
        </w:tc>
        <w:tc>
          <w:tcPr>
            <w:tcW w:w="2340" w:type="dxa"/>
            <w:shd w:fill="F4F7FB"/>
            <w:vAlign w:val="top"/>
          </w:tcPr>
          <w:p>
            <w:pPr>
              <w:spacing w:after="40"/>
            </w:pPr>
            <w:r>
              <w:t xml:space="preserve">TBD</w:t>
            </w:r>
          </w:p>
        </w:tc>
        <w:tc>
          <w:tcPr>
            <w:tcW w:w="2340" w:type="dxa"/>
            <w:shd w:fill="F4F7FB"/>
            <w:vAlign w:val="top"/>
          </w:tcPr>
          <w:p>
            <w:pPr>
              <w:spacing w:after="40"/>
            </w:pPr>
            <w:r>
              <w:t xml:space="preserve">TBD</w:t>
            </w:r>
          </w:p>
        </w:tc>
        <w:tc>
          <w:tcPr>
            <w:tcW w:w="2340" w:type="dxa"/>
            <w:shd w:fill="F4F7FB"/>
            <w:vAlign w:val="top"/>
          </w:tcPr>
          <w:p>
            <w:pPr>
              <w:spacing w:after="40"/>
            </w:pPr>
            <w:r>
              <w:t xml:space="preserve">TBD</w:t>
            </w:r>
          </w:p>
        </w:tc>
      </w:tr>
      <w:tr>
        <w:trPr>
          <w:cantSplit/>
        </w:trPr>
        <w:tc>
          <w:tcPr>
            <w:tcW w:w="2340" w:type="dxa"/>
            <w:vAlign w:val="top"/>
          </w:tcPr>
          <w:p>
            <w:pPr>
              <w:spacing w:after="40"/>
            </w:pPr>
            <w:r>
              <w:t xml:space="preserve">Accessibility owner</w:t>
            </w:r>
          </w:p>
        </w:tc>
        <w:tc>
          <w:tcPr>
            <w:tcW w:w="2340" w:type="dxa"/>
            <w:vAlign w:val="top"/>
          </w:tcPr>
          <w:p>
            <w:pPr>
              <w:spacing w:after="40"/>
            </w:pPr>
            <w:r>
              <w:t xml:space="preserve">TBD</w:t>
            </w:r>
          </w:p>
        </w:tc>
        <w:tc>
          <w:tcPr>
            <w:tcW w:w="2340" w:type="dxa"/>
            <w:vAlign w:val="top"/>
          </w:tcPr>
          <w:p>
            <w:pPr>
              <w:spacing w:after="40"/>
            </w:pPr>
            <w:r>
              <w:t xml:space="preserve">TBD</w:t>
            </w:r>
          </w:p>
        </w:tc>
        <w:tc>
          <w:tcPr>
            <w:tcW w:w="2340" w:type="dxa"/>
            <w:vAlign w:val="top"/>
          </w:tcPr>
          <w:p>
            <w:pPr>
              <w:spacing w:after="40"/>
            </w:pPr>
            <w:r>
              <w:t xml:space="preserve">TBD</w:t>
            </w:r>
          </w:p>
        </w:tc>
      </w:tr>
    </w:tbl>
    <w:p>
      <w:pPr/>
    </w:p>
    <w:p>
      <w:pPr>
        <w:pStyle w:val="Heading1"/>
        <w:keepNext/>
      </w:pPr>
      <w:r>
        <w:t xml:space="preserve">Test Scenarios (Initial Risk Priorities)</w:t>
      </w:r>
    </w:p>
    <w:p>
      <w:pPr/>
      <w:r>
        <w:t xml:space="preserve">Priorities are proposed for review: P0 = critical login/security path; P1 = important functional, integration, accessibility, or non-functional path; P2 = lower-risk ancillary or deferred/conditional path. A priority does not make an optional capability in-scope. Confirm enabled features before execution. The "Maps to" column identifies the originating scenario and open questions; no Jira acceptance criteria were supplied.</w:t>
      </w:r>
    </w:p>
    <w:tbl>
      <w:tblPr>
        <w:tblW w:w="9360" w:type="dxa"/>
        <w:tblLayout w:type="fixed"/>
        <w:tblBorders>
          <w:top w:val="single" w:sz="5" w:color="C8D4E0"/>
          <w:left w:val="single" w:sz="5" w:color="C8D4E0"/>
          <w:bottom w:val="single" w:sz="5" w:color="C8D4E0"/>
          <w:right w:val="single" w:sz="5" w:color="C8D4E0"/>
          <w:insideH w:val="single" w:sz="4" w:color="D6DEE8"/>
          <w:insideV w:val="single" w:sz="4" w:color="D6DEE8"/>
        </w:tblBorders>
        <w:tblCellMar>
          <w:top w:w="75" w:type="dxa"/>
          <w:left w:w="80" w:type="dxa"/>
          <w:bottom w:w="75" w:type="dxa"/>
          <w:right w:w="80" w:type="dxa"/>
        </w:tblCellMar>
      </w:tblPr>
      <w:tblGrid>
        <w:gridCol w:w="800"/>
        <w:gridCol w:w="750"/>
        <w:gridCol w:w="1450"/>
        <w:gridCol w:w="4120"/>
        <w:gridCol w:w="2240"/>
      </w:tblGrid>
      <w:tr>
        <w:trPr>
          <w:tblHeader w:val="true"/>
          <w:cantSplit/>
        </w:trPr>
        <w:tc>
          <w:tcPr>
            <w:tcW w:w="800" w:type="dxa"/>
            <w:shd w:fill="EAF1F8"/>
            <w:vAlign w:val="top"/>
          </w:tcPr>
          <w:p>
            <w:pPr>
              <w:spacing w:after="40"/>
            </w:pPr>
            <w:r>
              <w:t xml:space="preserve">ID</w:t>
            </w:r>
          </w:p>
        </w:tc>
        <w:tc>
          <w:tcPr>
            <w:tcW w:w="750" w:type="dxa"/>
            <w:shd w:fill="EAF1F8"/>
            <w:vAlign w:val="top"/>
          </w:tcPr>
          <w:p>
            <w:pPr>
              <w:spacing w:after="40"/>
            </w:pPr>
            <w:r>
              <w:t xml:space="preserve">Priority</w:t>
            </w:r>
          </w:p>
        </w:tc>
        <w:tc>
          <w:tcPr>
            <w:tcW w:w="1450" w:type="dxa"/>
            <w:shd w:fill="EAF1F8"/>
            <w:vAlign w:val="top"/>
          </w:tcPr>
          <w:p>
            <w:pPr>
              <w:spacing w:after="40"/>
            </w:pPr>
            <w:r>
              <w:t xml:space="preserve">Type</w:t>
            </w:r>
          </w:p>
        </w:tc>
        <w:tc>
          <w:tcPr>
            <w:tcW w:w="4120" w:type="dxa"/>
            <w:shd w:fill="EAF1F8"/>
            <w:vAlign w:val="top"/>
          </w:tcPr>
          <w:p>
            <w:pPr>
              <w:spacing w:after="40"/>
            </w:pPr>
            <w:r>
              <w:t xml:space="preserve">Scenario and expected result</w:t>
            </w:r>
          </w:p>
        </w:tc>
        <w:tc>
          <w:tcPr>
            <w:tcW w:w="2240" w:type="dxa"/>
            <w:shd w:fill="EAF1F8"/>
            <w:vAlign w:val="top"/>
          </w:tcPr>
          <w:p>
            <w:pPr>
              <w:spacing w:after="40"/>
            </w:pPr>
            <w:r>
              <w:t xml:space="preserve">Maps to (source scenario / gap)</w:t>
            </w:r>
          </w:p>
        </w:tc>
      </w:tr>
      <w:tr>
        <w:trPr>
          <w:cantSplit/>
        </w:trPr>
        <w:tc>
          <w:tcPr>
            <w:tcW w:w="800" w:type="dxa"/>
            <w:vAlign w:val="top"/>
          </w:tcPr>
          <w:p>
            <w:pPr>
              <w:spacing w:after="40"/>
            </w:pPr>
            <w:r>
              <w:t xml:space="preserve">AUTH-01</w:t>
            </w:r>
          </w:p>
        </w:tc>
        <w:tc>
          <w:tcPr>
            <w:tcW w:w="750" w:type="dxa"/>
            <w:vAlign w:val="top"/>
          </w:tcPr>
          <w:p>
            <w:pPr>
              <w:spacing w:after="40"/>
            </w:pPr>
            <w:r>
              <w:t xml:space="preserve">P0</w:t>
            </w:r>
          </w:p>
        </w:tc>
        <w:tc>
          <w:tcPr>
            <w:tcW w:w="1450" w:type="dxa"/>
            <w:vAlign w:val="top"/>
          </w:tcPr>
          <w:p>
            <w:pPr>
              <w:spacing w:after="40"/>
            </w:pPr>
            <w:r>
              <w:t xml:space="preserve">Positive</w:t>
            </w:r>
          </w:p>
        </w:tc>
        <w:tc>
          <w:tcPr>
            <w:tcW w:w="4120" w:type="dxa"/>
            <w:vAlign w:val="top"/>
          </w:tcPr>
          <w:p>
            <w:pPr>
              <w:spacing w:after="40"/>
            </w:pPr>
            <w:r>
              <w:rPr>
                <w:b/>
                <w:color w:val="173D66"/>
              </w:rPr>
              <w:t xml:space="preserve">Login:</w:t>
            </w:r>
            <w:r>
              <w:t xml:space="preserve"> Submit valid email and password; authentication succeeds and the user reaches the VWO dashboard.</w:t>
            </w:r>
          </w:p>
        </w:tc>
        <w:tc>
          <w:tcPr>
            <w:tcW w:w="2240" w:type="dxa"/>
            <w:vAlign w:val="top"/>
          </w:tcPr>
          <w:p>
            <w:pPr>
              <w:spacing w:after="40"/>
            </w:pPr>
            <w:r>
              <w:t xml:space="preserve">Source AUTH-01; Q-02, Q-05, Q-06, Q-07</w:t>
            </w:r>
          </w:p>
        </w:tc>
      </w:tr>
      <w:tr>
        <w:trPr>
          <w:cantSplit/>
        </w:trPr>
        <w:tc>
          <w:tcPr>
            <w:tcW w:w="800" w:type="dxa"/>
            <w:shd w:fill="F4F7FB"/>
            <w:vAlign w:val="top"/>
          </w:tcPr>
          <w:p>
            <w:pPr>
              <w:spacing w:after="40"/>
            </w:pPr>
            <w:r>
              <w:t xml:space="preserve">AUTH-02</w:t>
            </w:r>
          </w:p>
        </w:tc>
        <w:tc>
          <w:tcPr>
            <w:tcW w:w="750" w:type="dxa"/>
            <w:shd w:fill="F4F7FB"/>
            <w:vAlign w:val="top"/>
          </w:tcPr>
          <w:p>
            <w:pPr>
              <w:spacing w:after="40"/>
            </w:pPr>
            <w:r>
              <w:t xml:space="preserve">P0</w:t>
            </w:r>
          </w:p>
        </w:tc>
        <w:tc>
          <w:tcPr>
            <w:tcW w:w="1450" w:type="dxa"/>
            <w:shd w:fill="F4F7FB"/>
            <w:vAlign w:val="top"/>
          </w:tcPr>
          <w:p>
            <w:pPr>
              <w:spacing w:after="40"/>
            </w:pPr>
            <w:r>
              <w:t xml:space="preserve">Negative / security</w:t>
            </w:r>
          </w:p>
        </w:tc>
        <w:tc>
          <w:tcPr>
            <w:tcW w:w="4120" w:type="dxa"/>
            <w:shd w:fill="F4F7FB"/>
            <w:vAlign w:val="top"/>
          </w:tcPr>
          <w:p>
            <w:pPr>
              <w:spacing w:after="40"/>
            </w:pPr>
            <w:r>
              <w:rPr>
                <w:b/>
                <w:color w:val="173D66"/>
              </w:rPr>
              <w:t xml:space="preserve">Login:</w:t>
            </w:r>
            <w:r>
              <w:t xml:space="preserve"> Submit incorrect credentials; access is denied and a clear, actionable error is shown without exposing sensitive information.</w:t>
            </w:r>
          </w:p>
        </w:tc>
        <w:tc>
          <w:tcPr>
            <w:tcW w:w="2240" w:type="dxa"/>
            <w:shd w:fill="F4F7FB"/>
            <w:vAlign w:val="top"/>
          </w:tcPr>
          <w:p>
            <w:pPr>
              <w:spacing w:after="40"/>
            </w:pPr>
            <w:r>
              <w:t xml:space="preserve">Source AUTH-02; Q-02, Q-05, Q-06, Q-07</w:t>
            </w:r>
          </w:p>
        </w:tc>
      </w:tr>
      <w:tr>
        <w:trPr>
          <w:cantSplit/>
        </w:trPr>
        <w:tc>
          <w:tcPr>
            <w:tcW w:w="800" w:type="dxa"/>
            <w:vAlign w:val="top"/>
          </w:tcPr>
          <w:p>
            <w:pPr>
              <w:spacing w:after="40"/>
            </w:pPr>
            <w:r>
              <w:t xml:space="preserve">AUTH-03</w:t>
            </w:r>
          </w:p>
        </w:tc>
        <w:tc>
          <w:tcPr>
            <w:tcW w:w="750" w:type="dxa"/>
            <w:vAlign w:val="top"/>
          </w:tcPr>
          <w:p>
            <w:pPr>
              <w:spacing w:after="40"/>
            </w:pPr>
            <w:r>
              <w:t xml:space="preserve">P1</w:t>
            </w:r>
          </w:p>
        </w:tc>
        <w:tc>
          <w:tcPr>
            <w:tcW w:w="1450" w:type="dxa"/>
            <w:vAlign w:val="top"/>
          </w:tcPr>
          <w:p>
            <w:pPr>
              <w:spacing w:after="40"/>
            </w:pPr>
            <w:r>
              <w:t xml:space="preserve">Boundary / non-functional</w:t>
            </w:r>
          </w:p>
        </w:tc>
        <w:tc>
          <w:tcPr>
            <w:tcW w:w="4120" w:type="dxa"/>
            <w:vAlign w:val="top"/>
          </w:tcPr>
          <w:p>
            <w:pPr>
              <w:spacing w:after="40"/>
            </w:pPr>
            <w:r>
              <w:rPr>
                <w:b/>
                <w:color w:val="173D66"/>
              </w:rPr>
              <w:t xml:space="preserve">Validation:</w:t>
            </w:r>
            <w:r>
              <w:t xml:space="preserve"> Blur an empty or malformed email field; immediate, understandable validation feedback is shown and submission behavior is correct.</w:t>
            </w:r>
          </w:p>
        </w:tc>
        <w:tc>
          <w:tcPr>
            <w:tcW w:w="2240" w:type="dxa"/>
            <w:vAlign w:val="top"/>
          </w:tcPr>
          <w:p>
            <w:pPr>
              <w:spacing w:after="40"/>
            </w:pPr>
            <w:r>
              <w:t xml:space="preserve">Source AUTH-03; Q-02, Q-05, Q-06, Q-07</w:t>
            </w:r>
          </w:p>
        </w:tc>
      </w:tr>
      <w:tr>
        <w:trPr>
          <w:cantSplit/>
        </w:trPr>
        <w:tc>
          <w:tcPr>
            <w:tcW w:w="800" w:type="dxa"/>
            <w:shd w:fill="F4F7FB"/>
            <w:vAlign w:val="top"/>
          </w:tcPr>
          <w:p>
            <w:pPr>
              <w:spacing w:after="40"/>
            </w:pPr>
            <w:r>
              <w:t xml:space="preserve">AUTH-04</w:t>
            </w:r>
          </w:p>
        </w:tc>
        <w:tc>
          <w:tcPr>
            <w:tcW w:w="750" w:type="dxa"/>
            <w:shd w:fill="F4F7FB"/>
            <w:vAlign w:val="top"/>
          </w:tcPr>
          <w:p>
            <w:pPr>
              <w:spacing w:after="40"/>
            </w:pPr>
            <w:r>
              <w:t xml:space="preserve">P1</w:t>
            </w:r>
          </w:p>
        </w:tc>
        <w:tc>
          <w:tcPr>
            <w:tcW w:w="1450" w:type="dxa"/>
            <w:shd w:fill="F4F7FB"/>
            <w:vAlign w:val="top"/>
          </w:tcPr>
          <w:p>
            <w:pPr>
              <w:spacing w:after="40"/>
            </w:pPr>
            <w:r>
              <w:t xml:space="preserve">Negative / security</w:t>
            </w:r>
          </w:p>
        </w:tc>
        <w:tc>
          <w:tcPr>
            <w:tcW w:w="4120" w:type="dxa"/>
            <w:shd w:fill="F4F7FB"/>
            <w:vAlign w:val="top"/>
          </w:tcPr>
          <w:p>
            <w:pPr>
              <w:spacing w:after="40"/>
            </w:pPr>
            <w:r>
              <w:rPr>
                <w:b/>
                <w:color w:val="173D66"/>
              </w:rPr>
              <w:t xml:space="preserve">Validation:</w:t>
            </w:r>
            <w:r>
              <w:t xml:space="preserve"> Submit missing or invalid required fields; invalid data is not accepted and field feedback is accessible.</w:t>
            </w:r>
          </w:p>
        </w:tc>
        <w:tc>
          <w:tcPr>
            <w:tcW w:w="2240" w:type="dxa"/>
            <w:shd w:fill="F4F7FB"/>
            <w:vAlign w:val="top"/>
          </w:tcPr>
          <w:p>
            <w:pPr>
              <w:spacing w:after="40"/>
            </w:pPr>
            <w:r>
              <w:t xml:space="preserve">Source AUTH-04; Q-02, Q-05, Q-06, Q-07</w:t>
            </w:r>
          </w:p>
        </w:tc>
      </w:tr>
      <w:tr>
        <w:trPr>
          <w:cantSplit/>
        </w:trPr>
        <w:tc>
          <w:tcPr>
            <w:tcW w:w="800" w:type="dxa"/>
            <w:vAlign w:val="top"/>
          </w:tcPr>
          <w:p>
            <w:pPr>
              <w:spacing w:after="40"/>
            </w:pPr>
            <w:r>
              <w:t xml:space="preserve">AUTH-05</w:t>
            </w:r>
          </w:p>
        </w:tc>
        <w:tc>
          <w:tcPr>
            <w:tcW w:w="750" w:type="dxa"/>
            <w:vAlign w:val="top"/>
          </w:tcPr>
          <w:p>
            <w:pPr>
              <w:spacing w:after="40"/>
            </w:pPr>
            <w:r>
              <w:t xml:space="preserve">P1</w:t>
            </w:r>
          </w:p>
        </w:tc>
        <w:tc>
          <w:tcPr>
            <w:tcW w:w="1450" w:type="dxa"/>
            <w:vAlign w:val="top"/>
          </w:tcPr>
          <w:p>
            <w:pPr>
              <w:spacing w:after="40"/>
            </w:pPr>
            <w:r>
              <w:t xml:space="preserve">Positive</w:t>
            </w:r>
          </w:p>
        </w:tc>
        <w:tc>
          <w:tcPr>
            <w:tcW w:w="4120" w:type="dxa"/>
            <w:vAlign w:val="top"/>
          </w:tcPr>
          <w:p>
            <w:pPr>
              <w:spacing w:after="40"/>
            </w:pPr>
            <w:r>
              <w:rPr>
                <w:b/>
                <w:color w:val="173D66"/>
              </w:rPr>
              <w:t xml:space="preserve">Password:</w:t>
            </w:r>
            <w:r>
              <w:t xml:space="preserve"> Verify password requirement/strength feedback against the confirmed password policy; the UI does not claim requirements that differ from server enforcement.</w:t>
            </w:r>
          </w:p>
        </w:tc>
        <w:tc>
          <w:tcPr>
            <w:tcW w:w="2240" w:type="dxa"/>
            <w:vAlign w:val="top"/>
          </w:tcPr>
          <w:p>
            <w:pPr>
              <w:spacing w:after="40"/>
            </w:pPr>
            <w:r>
              <w:t xml:space="preserve">Source AUTH-05; Q-02, Q-05, Q-06, Q-07</w:t>
            </w:r>
          </w:p>
        </w:tc>
      </w:tr>
      <w:tr>
        <w:trPr>
          <w:cantSplit/>
        </w:trPr>
        <w:tc>
          <w:tcPr>
            <w:tcW w:w="800" w:type="dxa"/>
            <w:shd w:fill="F4F7FB"/>
            <w:vAlign w:val="top"/>
          </w:tcPr>
          <w:p>
            <w:pPr>
              <w:spacing w:after="40"/>
            </w:pPr>
            <w:r>
              <w:t xml:space="preserve">AUTH-06</w:t>
            </w:r>
          </w:p>
        </w:tc>
        <w:tc>
          <w:tcPr>
            <w:tcW w:w="750" w:type="dxa"/>
            <w:shd w:fill="F4F7FB"/>
            <w:vAlign w:val="top"/>
          </w:tcPr>
          <w:p>
            <w:pPr>
              <w:spacing w:after="40"/>
            </w:pPr>
            <w:r>
              <w:t xml:space="preserve">P1</w:t>
            </w:r>
          </w:p>
        </w:tc>
        <w:tc>
          <w:tcPr>
            <w:tcW w:w="1450" w:type="dxa"/>
            <w:shd w:fill="F4F7FB"/>
            <w:vAlign w:val="top"/>
          </w:tcPr>
          <w:p>
            <w:pPr>
              <w:spacing w:after="40"/>
            </w:pPr>
            <w:r>
              <w:t xml:space="preserve">Positive</w:t>
            </w:r>
          </w:p>
        </w:tc>
        <w:tc>
          <w:tcPr>
            <w:tcW w:w="4120" w:type="dxa"/>
            <w:shd w:fill="F4F7FB"/>
            <w:vAlign w:val="top"/>
          </w:tcPr>
          <w:p>
            <w:pPr>
              <w:spacing w:after="40"/>
            </w:pPr>
            <w:r>
              <w:rPr>
                <w:b/>
                <w:color w:val="173D66"/>
              </w:rPr>
              <w:t xml:space="preserve">Loading:</w:t>
            </w:r>
            <w:r>
              <w:t xml:space="preserve"> Submit login and observe the processing state; feedback is visible and duplicate submissions are handled safely.</w:t>
            </w:r>
          </w:p>
        </w:tc>
        <w:tc>
          <w:tcPr>
            <w:tcW w:w="2240" w:type="dxa"/>
            <w:shd w:fill="F4F7FB"/>
            <w:vAlign w:val="top"/>
          </w:tcPr>
          <w:p>
            <w:pPr>
              <w:spacing w:after="40"/>
            </w:pPr>
            <w:r>
              <w:t xml:space="preserve">Source AUTH-06; Q-02, Q-05, Q-06, Q-07</w:t>
            </w:r>
          </w:p>
        </w:tc>
      </w:tr>
      <w:tr>
        <w:trPr>
          <w:cantSplit/>
        </w:trPr>
        <w:tc>
          <w:tcPr>
            <w:tcW w:w="800" w:type="dxa"/>
            <w:vAlign w:val="top"/>
          </w:tcPr>
          <w:p>
            <w:pPr>
              <w:spacing w:after="40"/>
            </w:pPr>
            <w:r>
              <w:t xml:space="preserve">AUTH-07</w:t>
            </w:r>
          </w:p>
        </w:tc>
        <w:tc>
          <w:tcPr>
            <w:tcW w:w="750" w:type="dxa"/>
            <w:vAlign w:val="top"/>
          </w:tcPr>
          <w:p>
            <w:pPr>
              <w:spacing w:after="40"/>
            </w:pPr>
            <w:r>
              <w:t xml:space="preserve">P1</w:t>
            </w:r>
          </w:p>
        </w:tc>
        <w:tc>
          <w:tcPr>
            <w:tcW w:w="1450" w:type="dxa"/>
            <w:vAlign w:val="top"/>
          </w:tcPr>
          <w:p>
            <w:pPr>
              <w:spacing w:after="40"/>
            </w:pPr>
            <w:r>
              <w:t xml:space="preserve">Boundary / non-functional</w:t>
            </w:r>
          </w:p>
        </w:tc>
        <w:tc>
          <w:tcPr>
            <w:tcW w:w="4120" w:type="dxa"/>
            <w:vAlign w:val="top"/>
          </w:tcPr>
          <w:p>
            <w:pPr>
              <w:spacing w:after="40"/>
            </w:pPr>
            <w:r>
              <w:rPr>
                <w:b/>
                <w:color w:val="173D66"/>
              </w:rPr>
              <w:t xml:space="preserve">Remember Me:</w:t>
            </w:r>
            <w:r>
              <w:t xml:space="preserve"> Log in with the option selected and unselected; persistence matches the defined session policy and does not exceed configured timeout/security rules.</w:t>
            </w:r>
          </w:p>
        </w:tc>
        <w:tc>
          <w:tcPr>
            <w:tcW w:w="2240" w:type="dxa"/>
            <w:vAlign w:val="top"/>
          </w:tcPr>
          <w:p>
            <w:pPr>
              <w:spacing w:after="40"/>
            </w:pPr>
            <w:r>
              <w:t xml:space="preserve">Source AUTH-07; Q-02, Q-05, Q-06, Q-07</w:t>
            </w:r>
          </w:p>
        </w:tc>
      </w:tr>
      <w:tr>
        <w:trPr>
          <w:cantSplit/>
        </w:trPr>
        <w:tc>
          <w:tcPr>
            <w:tcW w:w="800" w:type="dxa"/>
            <w:shd w:fill="F4F7FB"/>
            <w:vAlign w:val="top"/>
          </w:tcPr>
          <w:p>
            <w:pPr>
              <w:spacing w:after="40"/>
            </w:pPr>
            <w:r>
              <w:t xml:space="preserve">AUTH-08</w:t>
            </w:r>
          </w:p>
        </w:tc>
        <w:tc>
          <w:tcPr>
            <w:tcW w:w="750" w:type="dxa"/>
            <w:shd w:fill="F4F7FB"/>
            <w:vAlign w:val="top"/>
          </w:tcPr>
          <w:p>
            <w:pPr>
              <w:spacing w:after="40"/>
            </w:pPr>
            <w:r>
              <w:t xml:space="preserve">P0</w:t>
            </w:r>
          </w:p>
        </w:tc>
        <w:tc>
          <w:tcPr>
            <w:tcW w:w="1450" w:type="dxa"/>
            <w:shd w:fill="F4F7FB"/>
            <w:vAlign w:val="top"/>
          </w:tcPr>
          <w:p>
            <w:pPr>
              <w:spacing w:after="40"/>
            </w:pPr>
            <w:r>
              <w:t xml:space="preserve">Boundary / non-functional</w:t>
            </w:r>
          </w:p>
        </w:tc>
        <w:tc>
          <w:tcPr>
            <w:tcW w:w="4120" w:type="dxa"/>
            <w:shd w:fill="F4F7FB"/>
            <w:vAlign w:val="top"/>
          </w:tcPr>
          <w:p>
            <w:pPr>
              <w:spacing w:after="40"/>
            </w:pPr>
            <w:r>
              <w:rPr>
                <w:b/>
                <w:color w:val="173D66"/>
              </w:rPr>
              <w:t xml:space="preserve">Session:</w:t>
            </w:r>
            <w:r>
              <w:t xml:space="preserve"> Verify configured timeout and session-token behavior, including expired-session handling and return to an appropriate authentication state.</w:t>
            </w:r>
          </w:p>
        </w:tc>
        <w:tc>
          <w:tcPr>
            <w:tcW w:w="2240" w:type="dxa"/>
            <w:shd w:fill="F4F7FB"/>
            <w:vAlign w:val="top"/>
          </w:tcPr>
          <w:p>
            <w:pPr>
              <w:spacing w:after="40"/>
            </w:pPr>
            <w:r>
              <w:t xml:space="preserve">Source AUTH-08; Q-02, Q-05, Q-06, Q-07</w:t>
            </w:r>
          </w:p>
        </w:tc>
      </w:tr>
      <w:tr>
        <w:trPr>
          <w:cantSplit/>
        </w:trPr>
        <w:tc>
          <w:tcPr>
            <w:tcW w:w="800" w:type="dxa"/>
            <w:vAlign w:val="top"/>
          </w:tcPr>
          <w:p>
            <w:pPr>
              <w:spacing w:after="40"/>
            </w:pPr>
            <w:r>
              <w:t xml:space="preserve">AUTH-09</w:t>
            </w:r>
          </w:p>
        </w:tc>
        <w:tc>
          <w:tcPr>
            <w:tcW w:w="750" w:type="dxa"/>
            <w:vAlign w:val="top"/>
          </w:tcPr>
          <w:p>
            <w:pPr>
              <w:spacing w:after="40"/>
            </w:pPr>
            <w:r>
              <w:t xml:space="preserve">P1</w:t>
            </w:r>
          </w:p>
        </w:tc>
        <w:tc>
          <w:tcPr>
            <w:tcW w:w="1450" w:type="dxa"/>
            <w:vAlign w:val="top"/>
          </w:tcPr>
          <w:p>
            <w:pPr>
              <w:spacing w:after="40"/>
            </w:pPr>
            <w:r>
              <w:t xml:space="preserve">Negative / security</w:t>
            </w:r>
          </w:p>
        </w:tc>
        <w:tc>
          <w:tcPr>
            <w:tcW w:w="4120" w:type="dxa"/>
            <w:vAlign w:val="top"/>
          </w:tcPr>
          <w:p>
            <w:pPr>
              <w:spacing w:after="40"/>
            </w:pPr>
            <w:r>
              <w:rPr>
                <w:b/>
                <w:color w:val="173D66"/>
              </w:rPr>
              <w:t xml:space="preserve">MFA:</w:t>
            </w:r>
            <w:r>
              <w:t xml:space="preserve"> For accounts with MFA enabled, complete valid and invalid second-factor flows; access is granted only after successful verification.</w:t>
            </w:r>
          </w:p>
        </w:tc>
        <w:tc>
          <w:tcPr>
            <w:tcW w:w="2240" w:type="dxa"/>
            <w:vAlign w:val="top"/>
          </w:tcPr>
          <w:p>
            <w:pPr>
              <w:spacing w:after="40"/>
            </w:pPr>
            <w:r>
              <w:t xml:space="preserve">Source AUTH-09; Q-02, Q-05, Q-06, Q-07</w:t>
            </w:r>
          </w:p>
        </w:tc>
      </w:tr>
      <w:tr>
        <w:trPr>
          <w:cantSplit/>
        </w:trPr>
        <w:tc>
          <w:tcPr>
            <w:tcW w:w="800" w:type="dxa"/>
            <w:shd w:fill="F4F7FB"/>
            <w:vAlign w:val="top"/>
          </w:tcPr>
          <w:p>
            <w:pPr>
              <w:spacing w:after="40"/>
            </w:pPr>
            <w:r>
              <w:t xml:space="preserve">AUTH-10</w:t>
            </w:r>
          </w:p>
        </w:tc>
        <w:tc>
          <w:tcPr>
            <w:tcW w:w="750" w:type="dxa"/>
            <w:shd w:fill="F4F7FB"/>
            <w:vAlign w:val="top"/>
          </w:tcPr>
          <w:p>
            <w:pPr>
              <w:spacing w:after="40"/>
            </w:pPr>
            <w:r>
              <w:t xml:space="preserve">P1</w:t>
            </w:r>
          </w:p>
        </w:tc>
        <w:tc>
          <w:tcPr>
            <w:tcW w:w="1450" w:type="dxa"/>
            <w:shd w:fill="F4F7FB"/>
            <w:vAlign w:val="top"/>
          </w:tcPr>
          <w:p>
            <w:pPr>
              <w:spacing w:after="40"/>
            </w:pPr>
            <w:r>
              <w:t xml:space="preserve">Negative / security</w:t>
            </w:r>
          </w:p>
        </w:tc>
        <w:tc>
          <w:tcPr>
            <w:tcW w:w="4120" w:type="dxa"/>
            <w:shd w:fill="F4F7FB"/>
            <w:vAlign w:val="top"/>
          </w:tcPr>
          <w:p>
            <w:pPr>
              <w:spacing w:after="40"/>
            </w:pPr>
            <w:r>
              <w:rPr>
                <w:b/>
                <w:color w:val="173D66"/>
              </w:rPr>
              <w:t xml:space="preserve">SSO:</w:t>
            </w:r>
            <w:r>
              <w:t xml:space="preserve"> For each enabled enterprise protocol/provider, verify successful sign-in, cancellation, and failure recovery without unintended access.</w:t>
            </w:r>
          </w:p>
        </w:tc>
        <w:tc>
          <w:tcPr>
            <w:tcW w:w="2240" w:type="dxa"/>
            <w:shd w:fill="F4F7FB"/>
            <w:vAlign w:val="top"/>
          </w:tcPr>
          <w:p>
            <w:pPr>
              <w:spacing w:after="40"/>
            </w:pPr>
            <w:r>
              <w:t xml:space="preserve">Source AUTH-10; Q-02, Q-05, Q-06, Q-07</w:t>
            </w:r>
          </w:p>
        </w:tc>
      </w:tr>
      <w:tr>
        <w:trPr>
          <w:cantSplit/>
        </w:trPr>
        <w:tc>
          <w:tcPr>
            <w:tcW w:w="800" w:type="dxa"/>
            <w:vAlign w:val="top"/>
          </w:tcPr>
          <w:p>
            <w:pPr>
              <w:spacing w:after="40"/>
            </w:pPr>
            <w:r>
              <w:t xml:space="preserve">REC-01</w:t>
            </w:r>
          </w:p>
        </w:tc>
        <w:tc>
          <w:tcPr>
            <w:tcW w:w="750" w:type="dxa"/>
            <w:vAlign w:val="top"/>
          </w:tcPr>
          <w:p>
            <w:pPr>
              <w:spacing w:after="40"/>
            </w:pPr>
            <w:r>
              <w:t xml:space="preserve">P0</w:t>
            </w:r>
          </w:p>
        </w:tc>
        <w:tc>
          <w:tcPr>
            <w:tcW w:w="1450" w:type="dxa"/>
            <w:vAlign w:val="top"/>
          </w:tcPr>
          <w:p>
            <w:pPr>
              <w:spacing w:after="40"/>
            </w:pPr>
            <w:r>
              <w:t xml:space="preserve">Positive</w:t>
            </w:r>
          </w:p>
        </w:tc>
        <w:tc>
          <w:tcPr>
            <w:tcW w:w="4120" w:type="dxa"/>
            <w:vAlign w:val="top"/>
          </w:tcPr>
          <w:p>
            <w:pPr>
              <w:spacing w:after="40"/>
            </w:pPr>
            <w:r>
              <w:rPr>
                <w:b/>
                <w:color w:val="173D66"/>
              </w:rPr>
              <w:t xml:space="preserve">Password recovery:</w:t>
            </w:r>
            <w:r>
              <w:t xml:space="preserve"> Request reset for an eligible account; the user receives the expected recovery flow and can set a password meeting the confirmed policy.</w:t>
            </w:r>
          </w:p>
        </w:tc>
        <w:tc>
          <w:tcPr>
            <w:tcW w:w="2240" w:type="dxa"/>
            <w:vAlign w:val="top"/>
          </w:tcPr>
          <w:p>
            <w:pPr>
              <w:spacing w:after="40"/>
            </w:pPr>
            <w:r>
              <w:t xml:space="preserve">Source REC-01; Q-02, Q-05, Q-06, Q-07</w:t>
            </w:r>
          </w:p>
        </w:tc>
      </w:tr>
      <w:tr>
        <w:trPr>
          <w:cantSplit/>
        </w:trPr>
        <w:tc>
          <w:tcPr>
            <w:tcW w:w="800" w:type="dxa"/>
            <w:shd w:fill="F4F7FB"/>
            <w:vAlign w:val="top"/>
          </w:tcPr>
          <w:p>
            <w:pPr>
              <w:spacing w:after="40"/>
            </w:pPr>
            <w:r>
              <w:t xml:space="preserve">REC-02</w:t>
            </w:r>
          </w:p>
        </w:tc>
        <w:tc>
          <w:tcPr>
            <w:tcW w:w="750" w:type="dxa"/>
            <w:shd w:fill="F4F7FB"/>
            <w:vAlign w:val="top"/>
          </w:tcPr>
          <w:p>
            <w:pPr>
              <w:spacing w:after="40"/>
            </w:pPr>
            <w:r>
              <w:t xml:space="preserve">P1</w:t>
            </w:r>
          </w:p>
        </w:tc>
        <w:tc>
          <w:tcPr>
            <w:tcW w:w="1450" w:type="dxa"/>
            <w:shd w:fill="F4F7FB"/>
            <w:vAlign w:val="top"/>
          </w:tcPr>
          <w:p>
            <w:pPr>
              <w:spacing w:after="40"/>
            </w:pPr>
            <w:r>
              <w:t xml:space="preserve">Boundary / non-functional</w:t>
            </w:r>
          </w:p>
        </w:tc>
        <w:tc>
          <w:tcPr>
            <w:tcW w:w="4120" w:type="dxa"/>
            <w:shd w:fill="F4F7FB"/>
            <w:vAlign w:val="top"/>
          </w:tcPr>
          <w:p>
            <w:pPr>
              <w:spacing w:after="40"/>
            </w:pPr>
            <w:r>
              <w:rPr>
                <w:b/>
                <w:color w:val="173D66"/>
              </w:rPr>
              <w:t xml:space="preserve">Password recovery:</w:t>
            </w:r>
            <w:r>
              <w:t xml:space="preserve"> Exercise invalid, expired, reused, or otherwise unusable reset tokens; reset is denied and the user receives safe recovery guidance.</w:t>
            </w:r>
          </w:p>
        </w:tc>
        <w:tc>
          <w:tcPr>
            <w:tcW w:w="2240" w:type="dxa"/>
            <w:shd w:fill="F4F7FB"/>
            <w:vAlign w:val="top"/>
          </w:tcPr>
          <w:p>
            <w:pPr>
              <w:spacing w:after="40"/>
            </w:pPr>
            <w:r>
              <w:t xml:space="preserve">Source REC-02; Q-02, Q-05, Q-06, Q-07</w:t>
            </w:r>
          </w:p>
        </w:tc>
      </w:tr>
      <w:tr>
        <w:trPr>
          <w:cantSplit/>
        </w:trPr>
        <w:tc>
          <w:tcPr>
            <w:tcW w:w="800" w:type="dxa"/>
            <w:vAlign w:val="top"/>
          </w:tcPr>
          <w:p>
            <w:pPr>
              <w:spacing w:after="40"/>
            </w:pPr>
            <w:r>
              <w:t xml:space="preserve">REC-03</w:t>
            </w:r>
          </w:p>
        </w:tc>
        <w:tc>
          <w:tcPr>
            <w:tcW w:w="750" w:type="dxa"/>
            <w:vAlign w:val="top"/>
          </w:tcPr>
          <w:p>
            <w:pPr>
              <w:spacing w:after="40"/>
            </w:pPr>
            <w:r>
              <w:t xml:space="preserve">P1</w:t>
            </w:r>
          </w:p>
        </w:tc>
        <w:tc>
          <w:tcPr>
            <w:tcW w:w="1450" w:type="dxa"/>
            <w:vAlign w:val="top"/>
          </w:tcPr>
          <w:p>
            <w:pPr>
              <w:spacing w:after="40"/>
            </w:pPr>
            <w:r>
              <w:t xml:space="preserve">Positive</w:t>
            </w:r>
          </w:p>
        </w:tc>
        <w:tc>
          <w:tcPr>
            <w:tcW w:w="4120" w:type="dxa"/>
            <w:vAlign w:val="top"/>
          </w:tcPr>
          <w:p>
            <w:pPr>
              <w:spacing w:after="40"/>
            </w:pPr>
            <w:r>
              <w:rPr>
                <w:b/>
                <w:color w:val="173D66"/>
              </w:rPr>
              <w:t xml:space="preserve">Password recovery:</w:t>
            </w:r>
            <w:r>
              <w:t xml:space="preserve"> Compare responses for eligible and ineligible account identifiers to verify the approved privacy behavior and avoid unnecessary account disclosure.</w:t>
            </w:r>
          </w:p>
        </w:tc>
        <w:tc>
          <w:tcPr>
            <w:tcW w:w="2240" w:type="dxa"/>
            <w:vAlign w:val="top"/>
          </w:tcPr>
          <w:p>
            <w:pPr>
              <w:spacing w:after="40"/>
            </w:pPr>
            <w:r>
              <w:t xml:space="preserve">Source REC-03; Q-02, Q-05, Q-06, Q-07</w:t>
            </w:r>
          </w:p>
        </w:tc>
      </w:tr>
      <w:tr>
        <w:trPr>
          <w:cantSplit/>
        </w:trPr>
        <w:tc>
          <w:tcPr>
            <w:tcW w:w="800" w:type="dxa"/>
            <w:shd w:fill="F4F7FB"/>
            <w:vAlign w:val="top"/>
          </w:tcPr>
          <w:p>
            <w:pPr>
              <w:spacing w:after="40"/>
            </w:pPr>
            <w:r>
              <w:t xml:space="preserve">UX-01</w:t>
            </w:r>
          </w:p>
        </w:tc>
        <w:tc>
          <w:tcPr>
            <w:tcW w:w="750" w:type="dxa"/>
            <w:shd w:fill="F4F7FB"/>
            <w:vAlign w:val="top"/>
          </w:tcPr>
          <w:p>
            <w:pPr>
              <w:spacing w:after="40"/>
            </w:pPr>
            <w:r>
              <w:t xml:space="preserve">P2</w:t>
            </w:r>
          </w:p>
        </w:tc>
        <w:tc>
          <w:tcPr>
            <w:tcW w:w="1450" w:type="dxa"/>
            <w:shd w:fill="F4F7FB"/>
            <w:vAlign w:val="top"/>
          </w:tcPr>
          <w:p>
            <w:pPr>
              <w:spacing w:after="40"/>
            </w:pPr>
            <w:r>
              <w:t xml:space="preserve">Positive</w:t>
            </w:r>
          </w:p>
        </w:tc>
        <w:tc>
          <w:tcPr>
            <w:tcW w:w="4120" w:type="dxa"/>
            <w:shd w:fill="F4F7FB"/>
            <w:vAlign w:val="top"/>
          </w:tcPr>
          <w:p>
            <w:pPr>
              <w:spacing w:after="40"/>
            </w:pPr>
            <w:r>
              <w:rPr>
                <w:b/>
                <w:color w:val="173D66"/>
              </w:rPr>
              <w:t xml:space="preserve">Navigation:</w:t>
            </w:r>
            <w:r>
              <w:t xml:space="preserve"> Follow the free-trial/registration link; it opens the intended registration destination.</w:t>
            </w:r>
          </w:p>
        </w:tc>
        <w:tc>
          <w:tcPr>
            <w:tcW w:w="2240" w:type="dxa"/>
            <w:shd w:fill="F4F7FB"/>
            <w:vAlign w:val="top"/>
          </w:tcPr>
          <w:p>
            <w:pPr>
              <w:spacing w:after="40"/>
            </w:pPr>
            <w:r>
              <w:t xml:space="preserve">Source UX-01; Q-08, Q-12, Q-13</w:t>
            </w:r>
          </w:p>
        </w:tc>
      </w:tr>
      <w:tr>
        <w:trPr>
          <w:cantSplit/>
        </w:trPr>
        <w:tc>
          <w:tcPr>
            <w:tcW w:w="800" w:type="dxa"/>
            <w:vAlign w:val="top"/>
          </w:tcPr>
          <w:p>
            <w:pPr>
              <w:spacing w:after="40"/>
            </w:pPr>
            <w:r>
              <w:t xml:space="preserve">UX-02</w:t>
            </w:r>
          </w:p>
        </w:tc>
        <w:tc>
          <w:tcPr>
            <w:tcW w:w="750" w:type="dxa"/>
            <w:vAlign w:val="top"/>
          </w:tcPr>
          <w:p>
            <w:pPr>
              <w:spacing w:after="40"/>
            </w:pPr>
            <w:r>
              <w:t xml:space="preserve">P2</w:t>
            </w:r>
          </w:p>
        </w:tc>
        <w:tc>
          <w:tcPr>
            <w:tcW w:w="1450" w:type="dxa"/>
            <w:vAlign w:val="top"/>
          </w:tcPr>
          <w:p>
            <w:pPr>
              <w:spacing w:after="40"/>
            </w:pPr>
            <w:r>
              <w:t xml:space="preserve">Positive</w:t>
            </w:r>
          </w:p>
        </w:tc>
        <w:tc>
          <w:tcPr>
            <w:tcW w:w="4120" w:type="dxa"/>
            <w:vAlign w:val="top"/>
          </w:tcPr>
          <w:p>
            <w:pPr>
              <w:spacing w:after="40"/>
            </w:pPr>
            <w:r>
              <w:rPr>
                <w:b/>
                <w:color w:val="173D66"/>
              </w:rPr>
              <w:t xml:space="preserve">Branding/theme:</w:t>
            </w:r>
            <w:r>
              <w:t xml:space="preserve"> Verify VWO branding, announcement content, and light/dark theme behavior at supported viewports.</w:t>
            </w:r>
          </w:p>
        </w:tc>
        <w:tc>
          <w:tcPr>
            <w:tcW w:w="2240" w:type="dxa"/>
            <w:vAlign w:val="top"/>
          </w:tcPr>
          <w:p>
            <w:pPr>
              <w:spacing w:after="40"/>
            </w:pPr>
            <w:r>
              <w:t xml:space="preserve">Source UX-02; Q-08, Q-12, Q-13</w:t>
            </w:r>
          </w:p>
        </w:tc>
      </w:tr>
      <w:tr>
        <w:trPr>
          <w:cantSplit/>
        </w:trPr>
        <w:tc>
          <w:tcPr>
            <w:tcW w:w="800" w:type="dxa"/>
            <w:shd w:fill="F4F7FB"/>
            <w:vAlign w:val="top"/>
          </w:tcPr>
          <w:p>
            <w:pPr>
              <w:spacing w:after="40"/>
            </w:pPr>
            <w:r>
              <w:t xml:space="preserve">UX-03</w:t>
            </w:r>
          </w:p>
        </w:tc>
        <w:tc>
          <w:tcPr>
            <w:tcW w:w="750" w:type="dxa"/>
            <w:shd w:fill="F4F7FB"/>
            <w:vAlign w:val="top"/>
          </w:tcPr>
          <w:p>
            <w:pPr>
              <w:spacing w:after="40"/>
            </w:pPr>
            <w:r>
              <w:t xml:space="preserve">P1</w:t>
            </w:r>
          </w:p>
        </w:tc>
        <w:tc>
          <w:tcPr>
            <w:tcW w:w="1450" w:type="dxa"/>
            <w:shd w:fill="F4F7FB"/>
            <w:vAlign w:val="top"/>
          </w:tcPr>
          <w:p>
            <w:pPr>
              <w:spacing w:after="40"/>
            </w:pPr>
            <w:r>
              <w:t xml:space="preserve">Positive</w:t>
            </w:r>
          </w:p>
        </w:tc>
        <w:tc>
          <w:tcPr>
            <w:tcW w:w="4120" w:type="dxa"/>
            <w:shd w:fill="F4F7FB"/>
            <w:vAlign w:val="top"/>
          </w:tcPr>
          <w:p>
            <w:pPr>
              <w:spacing w:after="40"/>
            </w:pPr>
            <w:r>
              <w:rPr>
                <w:b/>
                <w:color w:val="173D66"/>
              </w:rPr>
              <w:t xml:space="preserve">Responsive:</w:t>
            </w:r>
            <w:r>
              <w:t xml:space="preserve"> Use the login page at agreed mobile and desktop viewport sizes; controls remain readable, usable, and do not overlap.</w:t>
            </w:r>
          </w:p>
        </w:tc>
        <w:tc>
          <w:tcPr>
            <w:tcW w:w="2240" w:type="dxa"/>
            <w:shd w:fill="F4F7FB"/>
            <w:vAlign w:val="top"/>
          </w:tcPr>
          <w:p>
            <w:pPr>
              <w:spacing w:after="40"/>
            </w:pPr>
            <w:r>
              <w:t xml:space="preserve">Source UX-03; Q-08, Q-12, Q-13</w:t>
            </w:r>
          </w:p>
        </w:tc>
      </w:tr>
      <w:tr>
        <w:trPr>
          <w:cantSplit/>
        </w:trPr>
        <w:tc>
          <w:tcPr>
            <w:tcW w:w="800" w:type="dxa"/>
            <w:vAlign w:val="top"/>
          </w:tcPr>
          <w:p>
            <w:pPr>
              <w:spacing w:after="40"/>
            </w:pPr>
            <w:r>
              <w:t xml:space="preserve">UX-04</w:t>
            </w:r>
          </w:p>
        </w:tc>
        <w:tc>
          <w:tcPr>
            <w:tcW w:w="750" w:type="dxa"/>
            <w:vAlign w:val="top"/>
          </w:tcPr>
          <w:p>
            <w:pPr>
              <w:spacing w:after="40"/>
            </w:pPr>
            <w:r>
              <w:t xml:space="preserve">P1</w:t>
            </w:r>
          </w:p>
        </w:tc>
        <w:tc>
          <w:tcPr>
            <w:tcW w:w="1450" w:type="dxa"/>
            <w:vAlign w:val="top"/>
          </w:tcPr>
          <w:p>
            <w:pPr>
              <w:spacing w:after="40"/>
            </w:pPr>
            <w:r>
              <w:t xml:space="preserve">Positive</w:t>
            </w:r>
          </w:p>
        </w:tc>
        <w:tc>
          <w:tcPr>
            <w:tcW w:w="4120" w:type="dxa"/>
            <w:vAlign w:val="top"/>
          </w:tcPr>
          <w:p>
            <w:pPr>
              <w:spacing w:after="40"/>
            </w:pPr>
            <w:r>
              <w:rPr>
                <w:b/>
                <w:color w:val="173D66"/>
              </w:rPr>
              <w:t xml:space="preserve">Focus/labels:</w:t>
            </w:r>
            <w:r>
              <w:t xml:space="preserve"> Verify initial focus, clickable labels, logical keyboard order, visible focus, and operation without a pointer.</w:t>
            </w:r>
          </w:p>
        </w:tc>
        <w:tc>
          <w:tcPr>
            <w:tcW w:w="2240" w:type="dxa"/>
            <w:vAlign w:val="top"/>
          </w:tcPr>
          <w:p>
            <w:pPr>
              <w:spacing w:after="40"/>
            </w:pPr>
            <w:r>
              <w:t xml:space="preserve">Source UX-04; Q-08, Q-12, Q-13</w:t>
            </w:r>
          </w:p>
        </w:tc>
      </w:tr>
      <w:tr>
        <w:trPr>
          <w:cantSplit/>
        </w:trPr>
        <w:tc>
          <w:tcPr>
            <w:tcW w:w="800" w:type="dxa"/>
            <w:shd w:fill="F4F7FB"/>
            <w:vAlign w:val="top"/>
          </w:tcPr>
          <w:p>
            <w:pPr>
              <w:spacing w:after="40"/>
            </w:pPr>
            <w:r>
              <w:t xml:space="preserve">UX-05</w:t>
            </w:r>
          </w:p>
        </w:tc>
        <w:tc>
          <w:tcPr>
            <w:tcW w:w="750" w:type="dxa"/>
            <w:shd w:fill="F4F7FB"/>
            <w:vAlign w:val="top"/>
          </w:tcPr>
          <w:p>
            <w:pPr>
              <w:spacing w:after="40"/>
            </w:pPr>
            <w:r>
              <w:t xml:space="preserve">P1</w:t>
            </w:r>
          </w:p>
        </w:tc>
        <w:tc>
          <w:tcPr>
            <w:tcW w:w="1450" w:type="dxa"/>
            <w:shd w:fill="F4F7FB"/>
            <w:vAlign w:val="top"/>
          </w:tcPr>
          <w:p>
            <w:pPr>
              <w:spacing w:after="40"/>
            </w:pPr>
            <w:r>
              <w:t xml:space="preserve">Non-functional</w:t>
            </w:r>
          </w:p>
        </w:tc>
        <w:tc>
          <w:tcPr>
            <w:tcW w:w="4120" w:type="dxa"/>
            <w:shd w:fill="F4F7FB"/>
            <w:vAlign w:val="top"/>
          </w:tcPr>
          <w:p>
            <w:pPr>
              <w:spacing w:after="40"/>
            </w:pPr>
            <w:r>
              <w:rPr>
                <w:b/>
                <w:color w:val="173D66"/>
              </w:rPr>
              <w:t xml:space="preserve">Screen reader:</w:t>
            </w:r>
            <w:r>
              <w:t xml:space="preserve"> Verify accessible names, field errors, status/loading feedback, and interactive controls with supported assistive technology.</w:t>
            </w:r>
          </w:p>
        </w:tc>
        <w:tc>
          <w:tcPr>
            <w:tcW w:w="2240" w:type="dxa"/>
            <w:shd w:fill="F4F7FB"/>
            <w:vAlign w:val="top"/>
          </w:tcPr>
          <w:p>
            <w:pPr>
              <w:spacing w:after="40"/>
            </w:pPr>
            <w:r>
              <w:t xml:space="preserve">Source UX-05; Q-08, Q-12, Q-13</w:t>
            </w:r>
          </w:p>
        </w:tc>
      </w:tr>
      <w:tr>
        <w:trPr>
          <w:cantSplit/>
        </w:trPr>
        <w:tc>
          <w:tcPr>
            <w:tcW w:w="800" w:type="dxa"/>
            <w:vAlign w:val="top"/>
          </w:tcPr>
          <w:p>
            <w:pPr>
              <w:spacing w:after="40"/>
            </w:pPr>
            <w:r>
              <w:t xml:space="preserve">UX-06</w:t>
            </w:r>
          </w:p>
        </w:tc>
        <w:tc>
          <w:tcPr>
            <w:tcW w:w="750" w:type="dxa"/>
            <w:vAlign w:val="top"/>
          </w:tcPr>
          <w:p>
            <w:pPr>
              <w:spacing w:after="40"/>
            </w:pPr>
            <w:r>
              <w:t xml:space="preserve">P1</w:t>
            </w:r>
          </w:p>
        </w:tc>
        <w:tc>
          <w:tcPr>
            <w:tcW w:w="1450" w:type="dxa"/>
            <w:vAlign w:val="top"/>
          </w:tcPr>
          <w:p>
            <w:pPr>
              <w:spacing w:after="40"/>
            </w:pPr>
            <w:r>
              <w:t xml:space="preserve">Non-functional</w:t>
            </w:r>
          </w:p>
        </w:tc>
        <w:tc>
          <w:tcPr>
            <w:tcW w:w="4120" w:type="dxa"/>
            <w:vAlign w:val="top"/>
          </w:tcPr>
          <w:p>
            <w:pPr>
              <w:spacing w:after="40"/>
            </w:pPr>
            <w:r>
              <w:rPr>
                <w:b/>
                <w:color w:val="173D66"/>
              </w:rPr>
              <w:t xml:space="preserve">Contrast:</w:t>
            </w:r>
            <w:r>
              <w:t xml:space="preserve"> Check normal and high-contrast modes against WCAG 2.1 AA criteria for the in-scope page and states.</w:t>
            </w:r>
          </w:p>
        </w:tc>
        <w:tc>
          <w:tcPr>
            <w:tcW w:w="2240" w:type="dxa"/>
            <w:vAlign w:val="top"/>
          </w:tcPr>
          <w:p>
            <w:pPr>
              <w:spacing w:after="40"/>
            </w:pPr>
            <w:r>
              <w:t xml:space="preserve">Source UX-06; Q-08, Q-12, Q-13</w:t>
            </w:r>
          </w:p>
        </w:tc>
      </w:tr>
      <w:tr>
        <w:trPr>
          <w:cantSplit/>
        </w:trPr>
        <w:tc>
          <w:tcPr>
            <w:tcW w:w="800" w:type="dxa"/>
            <w:shd w:fill="F4F7FB"/>
            <w:vAlign w:val="top"/>
          </w:tcPr>
          <w:p>
            <w:pPr>
              <w:spacing w:after="40"/>
            </w:pPr>
            <w:r>
              <w:t xml:space="preserve">INT-01</w:t>
            </w:r>
          </w:p>
        </w:tc>
        <w:tc>
          <w:tcPr>
            <w:tcW w:w="750" w:type="dxa"/>
            <w:shd w:fill="F4F7FB"/>
            <w:vAlign w:val="top"/>
          </w:tcPr>
          <w:p>
            <w:pPr>
              <w:spacing w:after="40"/>
            </w:pPr>
            <w:r>
              <w:t xml:space="preserve">P0</w:t>
            </w:r>
          </w:p>
        </w:tc>
        <w:tc>
          <w:tcPr>
            <w:tcW w:w="1450" w:type="dxa"/>
            <w:shd w:fill="F4F7FB"/>
            <w:vAlign w:val="top"/>
          </w:tcPr>
          <w:p>
            <w:pPr>
              <w:spacing w:after="40"/>
            </w:pPr>
            <w:r>
              <w:t xml:space="preserve">Non-functional</w:t>
            </w:r>
          </w:p>
        </w:tc>
        <w:tc>
          <w:tcPr>
            <w:tcW w:w="4120" w:type="dxa"/>
            <w:shd w:fill="F4F7FB"/>
            <w:vAlign w:val="top"/>
          </w:tcPr>
          <w:p>
            <w:pPr>
              <w:spacing w:after="40"/>
            </w:pPr>
            <w:r>
              <w:rPr>
                <w:b/>
                <w:color w:val="173D66"/>
              </w:rPr>
              <w:t xml:space="preserve">Platform:</w:t>
            </w:r>
            <w:r>
              <w:t xml:space="preserve"> Verify successful authentication transitions to the correct VWO dashboard and preserves the intended context from the prior session where specified.</w:t>
            </w:r>
          </w:p>
        </w:tc>
        <w:tc>
          <w:tcPr>
            <w:tcW w:w="2240" w:type="dxa"/>
            <w:shd w:fill="F4F7FB"/>
            <w:vAlign w:val="top"/>
          </w:tcPr>
          <w:p>
            <w:pPr>
              <w:spacing w:after="40"/>
            </w:pPr>
            <w:r>
              <w:t xml:space="preserve">Source INT-01; Q-02, Q-09, Q-14</w:t>
            </w:r>
          </w:p>
        </w:tc>
      </w:tr>
      <w:tr>
        <w:trPr>
          <w:cantSplit/>
        </w:trPr>
        <w:tc>
          <w:tcPr>
            <w:tcW w:w="800" w:type="dxa"/>
            <w:vAlign w:val="top"/>
          </w:tcPr>
          <w:p>
            <w:pPr>
              <w:spacing w:after="40"/>
            </w:pPr>
            <w:r>
              <w:t xml:space="preserve">INT-02</w:t>
            </w:r>
          </w:p>
        </w:tc>
        <w:tc>
          <w:tcPr>
            <w:tcW w:w="750" w:type="dxa"/>
            <w:vAlign w:val="top"/>
          </w:tcPr>
          <w:p>
            <w:pPr>
              <w:spacing w:after="40"/>
            </w:pPr>
            <w:r>
              <w:t xml:space="preserve">P1</w:t>
            </w:r>
          </w:p>
        </w:tc>
        <w:tc>
          <w:tcPr>
            <w:tcW w:w="1450" w:type="dxa"/>
            <w:vAlign w:val="top"/>
          </w:tcPr>
          <w:p>
            <w:pPr>
              <w:spacing w:after="40"/>
            </w:pPr>
            <w:r>
              <w:t xml:space="preserve">Positive</w:t>
            </w:r>
          </w:p>
        </w:tc>
        <w:tc>
          <w:tcPr>
            <w:tcW w:w="4120" w:type="dxa"/>
            <w:vAlign w:val="top"/>
          </w:tcPr>
          <w:p>
            <w:pPr>
              <w:spacing w:after="40"/>
            </w:pPr>
            <w:r>
              <w:rPr>
                <w:b/>
                <w:color w:val="173D66"/>
              </w:rPr>
              <w:t xml:space="preserve">Analytics:</w:t>
            </w:r>
            <w:r>
              <w:t xml:space="preserve"> Verify successful and failed login events are recorded as intended without sending passwords, tokens, or other authentication secrets.</w:t>
            </w:r>
          </w:p>
        </w:tc>
        <w:tc>
          <w:tcPr>
            <w:tcW w:w="2240" w:type="dxa"/>
            <w:vAlign w:val="top"/>
          </w:tcPr>
          <w:p>
            <w:pPr>
              <w:spacing w:after="40"/>
            </w:pPr>
            <w:r>
              <w:t xml:space="preserve">Source INT-02; Q-02, Q-09, Q-14</w:t>
            </w:r>
          </w:p>
        </w:tc>
      </w:tr>
      <w:tr>
        <w:trPr>
          <w:cantSplit/>
        </w:trPr>
        <w:tc>
          <w:tcPr>
            <w:tcW w:w="800" w:type="dxa"/>
            <w:shd w:fill="F4F7FB"/>
            <w:vAlign w:val="top"/>
          </w:tcPr>
          <w:p>
            <w:pPr>
              <w:spacing w:after="40"/>
            </w:pPr>
            <w:r>
              <w:t xml:space="preserve">INT-03</w:t>
            </w:r>
          </w:p>
        </w:tc>
        <w:tc>
          <w:tcPr>
            <w:tcW w:w="750" w:type="dxa"/>
            <w:shd w:fill="F4F7FB"/>
            <w:vAlign w:val="top"/>
          </w:tcPr>
          <w:p>
            <w:pPr>
              <w:spacing w:after="40"/>
            </w:pPr>
            <w:r>
              <w:t xml:space="preserve">P2</w:t>
            </w:r>
          </w:p>
        </w:tc>
        <w:tc>
          <w:tcPr>
            <w:tcW w:w="1450" w:type="dxa"/>
            <w:shd w:fill="F4F7FB"/>
            <w:vAlign w:val="top"/>
          </w:tcPr>
          <w:p>
            <w:pPr>
              <w:spacing w:after="40"/>
            </w:pPr>
            <w:r>
              <w:t xml:space="preserve">Positive</w:t>
            </w:r>
          </w:p>
        </w:tc>
        <w:tc>
          <w:tcPr>
            <w:tcW w:w="4120" w:type="dxa"/>
            <w:shd w:fill="F4F7FB"/>
            <w:vAlign w:val="top"/>
          </w:tcPr>
          <w:p>
            <w:pPr>
              <w:spacing w:after="40"/>
            </w:pPr>
            <w:r>
              <w:rPr>
                <w:b/>
                <w:color w:val="173D66"/>
              </w:rPr>
              <w:t xml:space="preserve">Support:</w:t>
            </w:r>
            <w:r>
              <w:t xml:space="preserve"> Verify the login-assistance path reaches the configured customer support experience.</w:t>
            </w:r>
          </w:p>
        </w:tc>
        <w:tc>
          <w:tcPr>
            <w:tcW w:w="2240" w:type="dxa"/>
            <w:shd w:fill="F4F7FB"/>
            <w:vAlign w:val="top"/>
          </w:tcPr>
          <w:p>
            <w:pPr>
              <w:spacing w:after="40"/>
            </w:pPr>
            <w:r>
              <w:t xml:space="preserve">Source INT-03; Q-02, Q-09, Q-14</w:t>
            </w:r>
          </w:p>
        </w:tc>
      </w:tr>
      <w:tr>
        <w:trPr>
          <w:cantSplit/>
        </w:trPr>
        <w:tc>
          <w:tcPr>
            <w:tcW w:w="800" w:type="dxa"/>
            <w:vAlign w:val="top"/>
          </w:tcPr>
          <w:p>
            <w:pPr>
              <w:spacing w:after="40"/>
            </w:pPr>
            <w:r>
              <w:t xml:space="preserve">SEC-01</w:t>
            </w:r>
          </w:p>
        </w:tc>
        <w:tc>
          <w:tcPr>
            <w:tcW w:w="750" w:type="dxa"/>
            <w:vAlign w:val="top"/>
          </w:tcPr>
          <w:p>
            <w:pPr>
              <w:spacing w:after="40"/>
            </w:pPr>
            <w:r>
              <w:t xml:space="preserve">P0</w:t>
            </w:r>
          </w:p>
        </w:tc>
        <w:tc>
          <w:tcPr>
            <w:tcW w:w="1450" w:type="dxa"/>
            <w:vAlign w:val="top"/>
          </w:tcPr>
          <w:p>
            <w:pPr>
              <w:spacing w:after="40"/>
            </w:pPr>
            <w:r>
              <w:t xml:space="preserve">Negative / security</w:t>
            </w:r>
          </w:p>
        </w:tc>
        <w:tc>
          <w:tcPr>
            <w:tcW w:w="4120" w:type="dxa"/>
            <w:vAlign w:val="top"/>
          </w:tcPr>
          <w:p>
            <w:pPr>
              <w:spacing w:after="40"/>
            </w:pPr>
            <w:r>
              <w:rPr>
                <w:b/>
                <w:color w:val="173D66"/>
              </w:rPr>
              <w:t xml:space="preserve">Transport:</w:t>
            </w:r>
            <w:r>
              <w:t xml:space="preserve"> Verify login and recovery communications use HTTPS and that authentication data is not transmitted over insecure connections.</w:t>
            </w:r>
          </w:p>
        </w:tc>
        <w:tc>
          <w:tcPr>
            <w:tcW w:w="2240" w:type="dxa"/>
            <w:vAlign w:val="top"/>
          </w:tcPr>
          <w:p>
            <w:pPr>
              <w:spacing w:after="40"/>
            </w:pPr>
            <w:r>
              <w:t xml:space="preserve">Source SEC-01; Q-09, Q-11, Q-14</w:t>
            </w:r>
          </w:p>
        </w:tc>
      </w:tr>
      <w:tr>
        <w:trPr>
          <w:cantSplit/>
        </w:trPr>
        <w:tc>
          <w:tcPr>
            <w:tcW w:w="800" w:type="dxa"/>
            <w:shd w:fill="F4F7FB"/>
            <w:vAlign w:val="top"/>
          </w:tcPr>
          <w:p>
            <w:pPr>
              <w:spacing w:after="40"/>
            </w:pPr>
            <w:r>
              <w:t xml:space="preserve">SEC-02</w:t>
            </w:r>
          </w:p>
        </w:tc>
        <w:tc>
          <w:tcPr>
            <w:tcW w:w="750" w:type="dxa"/>
            <w:shd w:fill="F4F7FB"/>
            <w:vAlign w:val="top"/>
          </w:tcPr>
          <w:p>
            <w:pPr>
              <w:spacing w:after="40"/>
            </w:pPr>
            <w:r>
              <w:t xml:space="preserve">P1</w:t>
            </w:r>
          </w:p>
        </w:tc>
        <w:tc>
          <w:tcPr>
            <w:tcW w:w="1450" w:type="dxa"/>
            <w:shd w:fill="F4F7FB"/>
            <w:vAlign w:val="top"/>
          </w:tcPr>
          <w:p>
            <w:pPr>
              <w:spacing w:after="40"/>
            </w:pPr>
            <w:r>
              <w:t xml:space="preserve">Negative / security</w:t>
            </w:r>
          </w:p>
        </w:tc>
        <w:tc>
          <w:tcPr>
            <w:tcW w:w="4120" w:type="dxa"/>
            <w:shd w:fill="F4F7FB"/>
            <w:vAlign w:val="top"/>
          </w:tcPr>
          <w:p>
            <w:pPr>
              <w:spacing w:after="40"/>
            </w:pPr>
            <w:r>
              <w:rPr>
                <w:b/>
                <w:color w:val="173D66"/>
              </w:rPr>
              <w:t xml:space="preserve">Rate limiting:</w:t>
            </w:r>
            <w:r>
              <w:t xml:space="preserve"> Verify repeated authentication attempts are throttled according to the approved policy and legitimate recovery is possible.</w:t>
            </w:r>
          </w:p>
        </w:tc>
        <w:tc>
          <w:tcPr>
            <w:tcW w:w="2240" w:type="dxa"/>
            <w:shd w:fill="F4F7FB"/>
            <w:vAlign w:val="top"/>
          </w:tcPr>
          <w:p>
            <w:pPr>
              <w:spacing w:after="40"/>
            </w:pPr>
            <w:r>
              <w:t xml:space="preserve">Source SEC-02; Q-09, Q-11, Q-14</w:t>
            </w:r>
          </w:p>
        </w:tc>
      </w:tr>
      <w:tr>
        <w:trPr>
          <w:cantSplit/>
        </w:trPr>
        <w:tc>
          <w:tcPr>
            <w:tcW w:w="800" w:type="dxa"/>
            <w:vAlign w:val="top"/>
          </w:tcPr>
          <w:p>
            <w:pPr>
              <w:spacing w:after="40"/>
            </w:pPr>
            <w:r>
              <w:t xml:space="preserve">SEC-03</w:t>
            </w:r>
          </w:p>
        </w:tc>
        <w:tc>
          <w:tcPr>
            <w:tcW w:w="750" w:type="dxa"/>
            <w:vAlign w:val="top"/>
          </w:tcPr>
          <w:p>
            <w:pPr>
              <w:spacing w:after="40"/>
            </w:pPr>
            <w:r>
              <w:t xml:space="preserve">P0</w:t>
            </w:r>
          </w:p>
        </w:tc>
        <w:tc>
          <w:tcPr>
            <w:tcW w:w="1450" w:type="dxa"/>
            <w:vAlign w:val="top"/>
          </w:tcPr>
          <w:p>
            <w:pPr>
              <w:spacing w:after="40"/>
            </w:pPr>
            <w:r>
              <w:t xml:space="preserve">Negative / security</w:t>
            </w:r>
          </w:p>
        </w:tc>
        <w:tc>
          <w:tcPr>
            <w:tcW w:w="4120" w:type="dxa"/>
            <w:vAlign w:val="top"/>
          </w:tcPr>
          <w:p>
            <w:pPr>
              <w:spacing w:after="40"/>
            </w:pPr>
            <w:r>
              <w:rPr>
                <w:b/>
                <w:color w:val="173D66"/>
              </w:rPr>
              <w:t xml:space="preserve">Session security:</w:t>
            </w:r>
            <w:r>
              <w:t xml:space="preserve"> Verify session tokens are generated, handled, and invalidated according to approved session requirements.</w:t>
            </w:r>
          </w:p>
        </w:tc>
        <w:tc>
          <w:tcPr>
            <w:tcW w:w="2240" w:type="dxa"/>
            <w:vAlign w:val="top"/>
          </w:tcPr>
          <w:p>
            <w:pPr>
              <w:spacing w:after="40"/>
            </w:pPr>
            <w:r>
              <w:t xml:space="preserve">Source SEC-03; Q-09, Q-11, Q-14</w:t>
            </w:r>
          </w:p>
        </w:tc>
      </w:tr>
      <w:tr>
        <w:trPr>
          <w:cantSplit/>
        </w:trPr>
        <w:tc>
          <w:tcPr>
            <w:tcW w:w="800" w:type="dxa"/>
            <w:shd w:fill="F4F7FB"/>
            <w:vAlign w:val="top"/>
          </w:tcPr>
          <w:p>
            <w:pPr>
              <w:spacing w:after="40"/>
            </w:pPr>
            <w:r>
              <w:t xml:space="preserve">SEC-04</w:t>
            </w:r>
          </w:p>
        </w:tc>
        <w:tc>
          <w:tcPr>
            <w:tcW w:w="750" w:type="dxa"/>
            <w:shd w:fill="F4F7FB"/>
            <w:vAlign w:val="top"/>
          </w:tcPr>
          <w:p>
            <w:pPr>
              <w:spacing w:after="40"/>
            </w:pPr>
            <w:r>
              <w:t xml:space="preserve">P0</w:t>
            </w:r>
          </w:p>
        </w:tc>
        <w:tc>
          <w:tcPr>
            <w:tcW w:w="1450" w:type="dxa"/>
            <w:shd w:fill="F4F7FB"/>
            <w:vAlign w:val="top"/>
          </w:tcPr>
          <w:p>
            <w:pPr>
              <w:spacing w:after="40"/>
            </w:pPr>
            <w:r>
              <w:t xml:space="preserve">Negative / security</w:t>
            </w:r>
          </w:p>
        </w:tc>
        <w:tc>
          <w:tcPr>
            <w:tcW w:w="4120" w:type="dxa"/>
            <w:shd w:fill="F4F7FB"/>
            <w:vAlign w:val="top"/>
          </w:tcPr>
          <w:p>
            <w:pPr>
              <w:spacing w:after="40"/>
            </w:pPr>
            <w:r>
              <w:rPr>
                <w:b/>
                <w:color w:val="173D66"/>
              </w:rPr>
              <w:t xml:space="preserve">Data handling:</w:t>
            </w:r>
            <w:r>
              <w:t xml:space="preserve"> Verify credentials are not exposed in page content, browser-visible logs, analytics, or error messages; validate stored-password controls through approved evidence/review.</w:t>
            </w:r>
          </w:p>
        </w:tc>
        <w:tc>
          <w:tcPr>
            <w:tcW w:w="2240" w:type="dxa"/>
            <w:shd w:fill="F4F7FB"/>
            <w:vAlign w:val="top"/>
          </w:tcPr>
          <w:p>
            <w:pPr>
              <w:spacing w:after="40"/>
            </w:pPr>
            <w:r>
              <w:t xml:space="preserve">Source SEC-04; Q-09, Q-11, Q-14</w:t>
            </w:r>
          </w:p>
        </w:tc>
      </w:tr>
      <w:tr>
        <w:trPr>
          <w:cantSplit/>
        </w:trPr>
        <w:tc>
          <w:tcPr>
            <w:tcW w:w="800" w:type="dxa"/>
            <w:vAlign w:val="top"/>
          </w:tcPr>
          <w:p>
            <w:pPr>
              <w:spacing w:after="40"/>
            </w:pPr>
            <w:r>
              <w:t xml:space="preserve">PERF-01</w:t>
            </w:r>
          </w:p>
        </w:tc>
        <w:tc>
          <w:tcPr>
            <w:tcW w:w="750" w:type="dxa"/>
            <w:vAlign w:val="top"/>
          </w:tcPr>
          <w:p>
            <w:pPr>
              <w:spacing w:after="40"/>
            </w:pPr>
            <w:r>
              <w:t xml:space="preserve">P1</w:t>
            </w:r>
          </w:p>
        </w:tc>
        <w:tc>
          <w:tcPr>
            <w:tcW w:w="1450" w:type="dxa"/>
            <w:vAlign w:val="top"/>
          </w:tcPr>
          <w:p>
            <w:pPr>
              <w:spacing w:after="40"/>
            </w:pPr>
            <w:r>
              <w:t xml:space="preserve">Boundary / non-functional</w:t>
            </w:r>
          </w:p>
        </w:tc>
        <w:tc>
          <w:tcPr>
            <w:tcW w:w="4120" w:type="dxa"/>
            <w:vAlign w:val="top"/>
          </w:tcPr>
          <w:p>
            <w:pPr>
              <w:spacing w:after="40"/>
            </w:pPr>
            <w:r>
              <w:rPr>
                <w:b/>
                <w:color w:val="173D66"/>
              </w:rPr>
              <w:t xml:space="preserve">Load time:</w:t>
            </w:r>
            <w:r>
              <w:t xml:space="preserve"> Measure login-page load under the agreed standard connection; compare results with the PRD's 2-second target.</w:t>
            </w:r>
          </w:p>
        </w:tc>
        <w:tc>
          <w:tcPr>
            <w:tcW w:w="2240" w:type="dxa"/>
            <w:vAlign w:val="top"/>
          </w:tcPr>
          <w:p>
            <w:pPr>
              <w:spacing w:after="40"/>
            </w:pPr>
            <w:r>
              <w:t xml:space="preserve">Source PERF-01; Q-10, Q-15</w:t>
            </w:r>
          </w:p>
        </w:tc>
      </w:tr>
      <w:tr>
        <w:trPr>
          <w:cantSplit/>
        </w:trPr>
        <w:tc>
          <w:tcPr>
            <w:tcW w:w="800" w:type="dxa"/>
            <w:shd w:fill="F4F7FB"/>
            <w:vAlign w:val="top"/>
          </w:tcPr>
          <w:p>
            <w:pPr>
              <w:spacing w:after="40"/>
            </w:pPr>
            <w:r>
              <w:t xml:space="preserve">PERF-02</w:t>
            </w:r>
          </w:p>
        </w:tc>
        <w:tc>
          <w:tcPr>
            <w:tcW w:w="750" w:type="dxa"/>
            <w:shd w:fill="F4F7FB"/>
            <w:vAlign w:val="top"/>
          </w:tcPr>
          <w:p>
            <w:pPr>
              <w:spacing w:after="40"/>
            </w:pPr>
            <w:r>
              <w:t xml:space="preserve">P1</w:t>
            </w:r>
          </w:p>
        </w:tc>
        <w:tc>
          <w:tcPr>
            <w:tcW w:w="1450" w:type="dxa"/>
            <w:shd w:fill="F4F7FB"/>
            <w:vAlign w:val="top"/>
          </w:tcPr>
          <w:p>
            <w:pPr>
              <w:spacing w:after="40"/>
            </w:pPr>
            <w:r>
              <w:t xml:space="preserve">Boundary / non-functional</w:t>
            </w:r>
          </w:p>
        </w:tc>
        <w:tc>
          <w:tcPr>
            <w:tcW w:w="4120" w:type="dxa"/>
            <w:shd w:fill="F4F7FB"/>
            <w:vAlign w:val="top"/>
          </w:tcPr>
          <w:p>
            <w:pPr>
              <w:spacing w:after="40"/>
            </w:pPr>
            <w:r>
              <w:rPr>
                <w:b/>
                <w:color w:val="173D66"/>
              </w:rPr>
              <w:t xml:space="preserve">Concurrent access:</w:t>
            </w:r>
            <w:r>
              <w:t xml:space="preserve"> Exercise the agreed concurrent-login profile and check response behavior, errors, and monitoring against the approved expectations.</w:t>
            </w:r>
          </w:p>
        </w:tc>
        <w:tc>
          <w:tcPr>
            <w:tcW w:w="2240" w:type="dxa"/>
            <w:shd w:fill="F4F7FB"/>
            <w:vAlign w:val="top"/>
          </w:tcPr>
          <w:p>
            <w:pPr>
              <w:spacing w:after="40"/>
            </w:pPr>
            <w:r>
              <w:t xml:space="preserve">Source PERF-02; Q-10, Q-15</w:t>
            </w:r>
          </w:p>
        </w:tc>
      </w:tr>
      <w:tr>
        <w:trPr>
          <w:cantSplit/>
        </w:trPr>
        <w:tc>
          <w:tcPr>
            <w:tcW w:w="800" w:type="dxa"/>
            <w:vAlign w:val="top"/>
          </w:tcPr>
          <w:p>
            <w:pPr>
              <w:spacing w:after="40"/>
            </w:pPr>
            <w:r>
              <w:t xml:space="preserve">REL-01</w:t>
            </w:r>
          </w:p>
        </w:tc>
        <w:tc>
          <w:tcPr>
            <w:tcW w:w="750" w:type="dxa"/>
            <w:vAlign w:val="top"/>
          </w:tcPr>
          <w:p>
            <w:pPr>
              <w:spacing w:after="40"/>
            </w:pPr>
            <w:r>
              <w:t xml:space="preserve">P1</w:t>
            </w:r>
          </w:p>
        </w:tc>
        <w:tc>
          <w:tcPr>
            <w:tcW w:w="1450" w:type="dxa"/>
            <w:vAlign w:val="top"/>
          </w:tcPr>
          <w:p>
            <w:pPr>
              <w:spacing w:after="40"/>
            </w:pPr>
            <w:r>
              <w:t xml:space="preserve">Boundary / non-functional</w:t>
            </w:r>
          </w:p>
        </w:tc>
        <w:tc>
          <w:tcPr>
            <w:tcW w:w="4120" w:type="dxa"/>
            <w:vAlign w:val="top"/>
          </w:tcPr>
          <w:p>
            <w:pPr>
              <w:spacing w:after="40"/>
            </w:pPr>
            <w:r>
              <w:rPr>
                <w:b/>
                <w:color w:val="173D66"/>
              </w:rPr>
              <w:t xml:space="preserve">Availability:</w:t>
            </w:r>
            <w:r>
              <w:t xml:space="preserve"> Review service monitoring over the agreed observation window against the 99.9% uptime target.</w:t>
            </w:r>
          </w:p>
        </w:tc>
        <w:tc>
          <w:tcPr>
            <w:tcW w:w="2240" w:type="dxa"/>
            <w:vAlign w:val="top"/>
          </w:tcPr>
          <w:p>
            <w:pPr>
              <w:spacing w:after="40"/>
            </w:pPr>
            <w:r>
              <w:t xml:space="preserve">Source REL-01; Q-10, Q-15</w:t>
            </w:r>
          </w:p>
        </w:tc>
      </w:tr>
      <w:tr>
        <w:trPr>
          <w:cantSplit/>
        </w:trPr>
        <w:tc>
          <w:tcPr>
            <w:tcW w:w="800" w:type="dxa"/>
            <w:shd w:fill="F4F7FB"/>
            <w:vAlign w:val="top"/>
          </w:tcPr>
          <w:p>
            <w:pPr>
              <w:spacing w:after="40"/>
            </w:pPr>
            <w:r>
              <w:t xml:space="preserve">REL-02</w:t>
            </w:r>
          </w:p>
        </w:tc>
        <w:tc>
          <w:tcPr>
            <w:tcW w:w="750" w:type="dxa"/>
            <w:shd w:fill="F4F7FB"/>
            <w:vAlign w:val="top"/>
          </w:tcPr>
          <w:p>
            <w:pPr>
              <w:spacing w:after="40"/>
            </w:pPr>
            <w:r>
              <w:t xml:space="preserve">P2</w:t>
            </w:r>
          </w:p>
        </w:tc>
        <w:tc>
          <w:tcPr>
            <w:tcW w:w="1450" w:type="dxa"/>
            <w:shd w:fill="F4F7FB"/>
            <w:vAlign w:val="top"/>
          </w:tcPr>
          <w:p>
            <w:pPr>
              <w:spacing w:after="40"/>
            </w:pPr>
            <w:r>
              <w:t xml:space="preserve">Boundary / non-functional</w:t>
            </w:r>
          </w:p>
        </w:tc>
        <w:tc>
          <w:tcPr>
            <w:tcW w:w="4120" w:type="dxa"/>
            <w:shd w:fill="F4F7FB"/>
            <w:vAlign w:val="top"/>
          </w:tcPr>
          <w:p>
            <w:pPr>
              <w:spacing w:after="40"/>
            </w:pPr>
            <w:r>
              <w:rPr>
                <w:b/>
                <w:color w:val="173D66"/>
              </w:rPr>
              <w:t xml:space="preserve">Geographic performance:</w:t>
            </w:r>
            <w:r>
              <w:t xml:space="preserve"> Measure login experience from agreed regions and review CDN/global deployment behavior against defined expectations.</w:t>
            </w:r>
          </w:p>
        </w:tc>
        <w:tc>
          <w:tcPr>
            <w:tcW w:w="2240" w:type="dxa"/>
            <w:shd w:fill="F4F7FB"/>
            <w:vAlign w:val="top"/>
          </w:tcPr>
          <w:p>
            <w:pPr>
              <w:spacing w:after="40"/>
            </w:pPr>
            <w:r>
              <w:t xml:space="preserve">Source REL-02; Q-10, Q-15</w:t>
            </w:r>
          </w:p>
        </w:tc>
      </w:tr>
    </w:tbl>
    <w:p>
      <w:pPr/>
    </w:p>
    <w:p>
      <w:pPr>
        <w:pStyle w:val="Heading1"/>
        <w:keepNext/>
      </w:pPr>
      <w:r>
        <w:t xml:space="preserve">Open Decisions</w:t>
      </w:r>
    </w:p>
    <w:p>
      <w:pPr>
        <w:pStyle w:val="ListParagraph"/>
        <w:ind w:left="360"/>
      </w:pPr>
      <w:r>
        <w:t xml:space="preserve">? Confirm supported browsers, operating systems, devices, and screen readers.</w:t>
      </w:r>
    </w:p>
    <w:p>
      <w:pPr>
        <w:pStyle w:val="ListParagraph"/>
        <w:ind w:left="360"/>
      </w:pPr>
      <w:r>
        <w:t xml:space="preserve">? Define exact email/password validation and password-strength rules, authentication error wording, lockout behavior, session timeout, and remember-me persistence.</w:t>
      </w:r>
    </w:p>
    <w:p>
      <w:pPr>
        <w:pStyle w:val="ListParagraph"/>
        <w:ind w:left="360"/>
      </w:pPr>
      <w:r>
        <w:t xml:space="preserve">? Confirm supported MFA factors, SSO protocols/providers, social login providers, and password recovery methods for the release.</w:t>
      </w:r>
    </w:p>
    <w:p>
      <w:pPr>
        <w:pStyle w:val="ListParagraph"/>
        <w:ind w:left="360"/>
      </w:pPr>
      <w:r>
        <w:t xml:space="preserve">? Define reset-token lifetime and reuse policy, rate-limit thresholds, session-token requirements, and security evidence owners.</w:t>
      </w:r>
    </w:p>
    <w:p>
      <w:pPr>
        <w:pStyle w:val="ListParagraph"/>
        <w:ind w:left="360"/>
      </w:pPr>
      <w:r>
        <w:t xml:space="preserve">? Agree on performance load profiles, global regions, uptime measurement window, standard network conditions, and source of success/satisfaction/support metrics.</w:t>
      </w:r>
    </w:p>
    <w:p>
      <w:pPr>
        <w:pStyle w:val="ListParagraph"/>
        <w:ind w:left="360"/>
      </w:pPr>
      <w:r>
        <w:t xml:space="preserve">? Confirm compliance control mapping, test-data handling, defect workflow, dates, owners, and approvers.</w:t>
      </w:r>
    </w:p>
    <w:p>
      <w:pPr>
        <w:pStyle w:val="Heading1"/>
        <w:keepNext/>
      </w:pPr>
      <w:r>
        <w:t xml:space="preserve">Human Review Gate</w:t>
      </w:r>
    </w:p>
    <w:p>
      <w:pPr>
        <w:pStyle w:val="ListParagraph"/>
        <w:ind w:left="360"/>
      </w:pPr>
      <w:r>
        <w:t xml:space="preserve">? </w:t>
      </w:r>
      <w:r>
        <w:rPr>
          <w:b/>
          <w:color w:val="173D66"/>
        </w:rPr>
        <w:t xml:space="preserve">I assumed:</w:t>
      </w:r>
      <w:r>
        <w:t xml:space="preserve"> The existing VWO login dashboard test plan is the intended subject; this document is a product-level draft. Priority assignments are provisional risk rankings. Optional MFA, SSO, social login, and integrations are in scope only when enabled and configured for the release. Only synthetic data and dedicated non-production accounts will be used.</w:t>
      </w:r>
    </w:p>
    <w:p>
      <w:pPr>
        <w:pStyle w:val="ListParagraph"/>
        <w:ind w:left="360"/>
      </w:pPr>
      <w:r>
        <w:t xml:space="preserve">? </w:t>
      </w:r>
      <w:r>
        <w:rPr>
          <w:b/>
          <w:color w:val="173D66"/>
        </w:rPr>
        <w:t xml:space="preserve">I could not confirm:</w:t>
      </w:r>
      <w:r>
        <w:t xml:space="preserve"> A Jira key/story, ticket description or acceptance criteria, release/build, supported browser/device/language matrix, exact validation and session policies, configured providers, environment URL, test accounts, performance workload, metric definitions, and approval owners.</w:t>
      </w:r>
    </w:p>
    <w:p>
      <w:pPr>
        <w:pStyle w:val="ListParagraph"/>
        <w:ind w:left="360"/>
      </w:pPr>
      <w:r>
        <w:t xml:space="preserve">? </w:t>
      </w:r>
      <w:r>
        <w:rPr>
          <w:b/>
          <w:color w:val="173D66"/>
        </w:rPr>
        <w:t xml:space="preserve">Open questions blocking sign-off:</w:t>
      </w:r>
      <w:r>
        <w:t xml:space="preserve"> Q-01, Q-02, Q-05 through Q-15 above, and the release-specific confirmation requested in Q-03/Q-04. Optional features must be explicitly marked enabled, disabled, or deferred.</w:t>
      </w:r>
    </w:p>
    <w:p>
      <w:pPr>
        <w:pStyle w:val="ListParagraph"/>
        <w:ind w:left="360"/>
      </w:pPr>
      <w:r>
        <w:t xml:space="preserve">? </w:t>
      </w:r>
      <w:r>
        <w:rPr>
          <w:b/>
          <w:color w:val="173D66"/>
        </w:rPr>
        <w:t xml:space="preserve">Approval:</w:t>
      </w:r>
      <w:r>
        <w:t xml:space="preserve"> QA, product, engineering, security/compliance, and accessibility owners should review the applicable sections. Approve or edit this draft before treating it as final. Do not begin ticket-specific test-case authoring or automation until a human approves the plan.</w:t>
      </w:r>
    </w:p>
    <w:sectPr>
      <w:pgSz w:w="12240" w:h="15840"/>
      <w:pgMar w:top="850" w:right="1440" w:bottom="850" w:left="1440" w:header="450" w:footer="450" w:gutter="0"/>
    </w:sectPr>
  </w:body>
</w:document>
</file>

<file path=word/styles.xml><?xml version="1.0" encoding="utf-8"?>
<w:styles xmlns:w="http://schemas.openxmlformats.org/wordprocessingml/2006/main">
  <w:docDefaults>
    <w:rPrDefault>
      <w:rPr>
        <w:rFonts w:ascii="Aptos" w:hAnsi="Aptos"/>
        <w:sz w:val="21"/>
        <w:color w:val="243247"/>
      </w:rPr>
    </w:rPrDefault>
    <w:pPrDefault>
      <w:pPr>
        <w:spacing w:after="110" w:line="280" w:lineRule="auto"/>
      </w:pPr>
    </w:pPrDefault>
  </w:docDefaults>
  <w:style w:type="paragraph" w:default="1" w:styleId="Normal">
    <w:name w:val="Normal"/>
  </w:style>
  <w:style w:type="paragraph" w:styleId="Title">
    <w:name w:val="Title"/>
    <w:basedOn w:val="Normal"/>
    <w:pPr>
      <w:spacing w:before="0" w:after="280"/>
      <w:keepNext/>
      <w:pBdr>
        <w:bottom w:val="single" w:sz="18" w:space="8" w:color="174E80"/>
      </w:pBdr>
    </w:pPr>
    <w:rPr>
      <w:rFonts w:ascii="Aptos Display" w:hAnsi="Aptos Display"/>
      <w:b/>
      <w:color w:val="174E80"/>
      <w:sz w:val="38"/>
    </w:rPr>
  </w:style>
  <w:style w:type="paragraph" w:styleId="Heading1">
    <w:name w:val="heading 1"/>
    <w:basedOn w:val="Normal"/>
    <w:next w:val="Normal"/>
    <w:pPr>
      <w:keepNext/>
      <w:keepLines/>
      <w:spacing w:before="300" w:after="120"/>
      <w:outlineLvl w:val="0"/>
    </w:pPr>
    <w:rPr>
      <w:b/>
      <w:color w:val="174E80"/>
      <w:sz w:val="29"/>
    </w:rPr>
  </w:style>
  <w:style w:type="paragraph" w:styleId="Heading2">
    <w:name w:val="heading 2"/>
    <w:basedOn w:val="Normal"/>
    <w:next w:val="Normal"/>
    <w:pPr>
      <w:keepNext/>
      <w:keepLines/>
      <w:spacing w:before="230" w:after="100"/>
      <w:outlineLvl w:val="1"/>
    </w:pPr>
    <w:rPr>
      <w:b/>
      <w:color w:val="174E80"/>
      <w:sz w:val="24"/>
    </w:rPr>
  </w:style>
  <w:style w:type="paragraph" w:styleId="Heading3">
    <w:name w:val="heading 3"/>
    <w:basedOn w:val="Normal"/>
    <w:pPr>
      <w:keepNext/>
      <w:spacing w:before="160" w:after="80"/>
      <w:outlineLvl w:val="2"/>
    </w:pPr>
    <w:rPr>
      <w:b/>
      <w:color w:val="174E80"/>
      <w:sz w:val="22"/>
    </w:rPr>
  </w:style>
  <w:style w:type="paragraph" w:styleId="ListParagraph">
    <w:name w:val="List Paragraph"/>
    <w:basedOn w:val="Normal"/>
    <w:pPr>
      <w:spacing w:after="60" w:line="260" w:lineRule="auto"/>
    </w:pPr>
  </w:style>
  <w:style w:type="paragraph" w:styleId="Quote">
    <w:name w:val="Quote"/>
    <w:basedOn w:val="Normal"/>
    <w:pPr>
      <w:spacing w:before="80" w:after="150"/>
      <w:shd w:fill="F0F4F8"/>
    </w:pPr>
    <w:rPr>
      <w:color w:val="173D66"/>
      <w:sz w:val="19"/>
    </w:rPr>
  </w:style>
  <w:style w:type="character" w:styleId="CodeChar">
    <w:name w:val="Code"/>
    <w:rPr>
      <w:rFonts w:ascii="Consolas" w:hAnsi="Consolas"/>
      <w:shd w:fill="F0F3F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