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2A37"/>
          <w:sz w:val="56"/>
        </w:rPr>
        <w:t>Adaptive RANSAC for Ground-Plane Segmentation</w:t>
        <w:br/>
        <w:t>via Reinforcement Learning</w:t>
      </w:r>
    </w:p>
    <w:p>
      <w:pPr>
        <w:spacing w:before="320"/>
        <w:jc w:val="center"/>
      </w:pPr>
      <w:r>
        <w:rPr>
          <w:i/>
          <w:color w:val="595959"/>
          <w:sz w:val="26"/>
        </w:rPr>
        <w:t>Learning per-frame RANSAC parameters for point-cloud ground segmentation with Proximal Policy Optimization, benchmarked against fixed-parameter Efficient RANSAC baselines on TartanAir and RELLIS-3D</w:t>
      </w:r>
    </w:p>
    <w:p/>
    <w:p/>
    <w:p/>
    <w:p/>
    <w:p/>
    <w:p/>
    <w:p>
      <w:pPr>
        <w:jc w:val="center"/>
      </w:pPr>
      <w:r>
        <w:rPr>
          <w:b/>
          <w:color w:val="2E5E8C"/>
          <w:sz w:val="24"/>
        </w:rPr>
        <w:t>Technical Report</w:t>
      </w:r>
    </w:p>
    <w:p>
      <w:pPr>
        <w:jc w:val="center"/>
      </w:pPr>
      <w:r>
        <w:rPr>
          <w:color w:val="595959"/>
          <w:sz w:val="22"/>
        </w:rPr>
        <w:t>Author: Sarforaj Gazi</w:t>
        <w:br/>
        <w:t>Date: July 10, 2026</w:t>
        <w:br/>
        <w:t>Project: Adaptive RANSAC RL Pipeline</w:t>
      </w:r>
    </w:p>
    <w:p>
      <w:r>
        <w:br w:type="page"/>
      </w:r>
    </w:p>
    <w:p>
      <w:pPr>
        <w:pStyle w:val="Heading1"/>
      </w:pPr>
      <w:r>
        <w:t>Abstract</w:t>
      </w:r>
    </w:p>
    <w:p>
      <w:r>
        <w:t>Ground-plane segmentation from LiDAR point clouds is a prerequisite for downstream tasks such as obstacle detection and traversability estimation in robotics. Efficient RANSAC (Schnabel et al., 2007) is a standard shape-fitting approach for this task, but its detection quality is highly sensitive to three hand-tuned parameters — the inlier distance threshold (epsilon), the minimum support (inlier count), and the surface-normal alignment threshold — whose optimal values vary substantially across scene types (e.g. a flat indoor floor vs. a rough forest floor). This project frames per-frame RANSAC parameter selection as a sequential decision-making problem and trains a Proximal Policy Optimization (PPO) agent to choose these parameters adaptively, with up to five refinement attempts per frame and a self-supervised, potential-based reward that requires no ground-truth labels. The agent is trained and evaluated on nine TartanAir simulation environments (13,000+ LiDAR frames spanning indoor, urban, forest, and underground scenes) against three fixed-parameter baselines (Strict, Standard, Loose), and evaluation infrastructure has additionally been built for the real-world, human-annotated RELLIS-3D dataset. Across 15,237 evaluated frames, the RL agent achieves a mean inlier ratio of 0.135 versus 0.081 for the best fixed baseline (Strict) and wins the per-frame comparison 58% of the time, while running roughly 2–3× faster in wall-clock time. The report also documents the reward-shaping iteration history (three major revisions), a diagnosed and fixed policy-collapse failure mode, a persistent weak point on one environment (Supermarket), and the gap between the project's original aspirational design (SAC, PointNet-based scene encoders, hierarchical terrain routing) and what has actually been implemented and evaluated to date.</w:t>
      </w:r>
    </w:p>
    <w:p>
      <w:pPr>
        <w:pStyle w:val="Heading3"/>
      </w:pPr>
      <w:r>
        <w:t>Keywords</w:t>
      </w:r>
    </w:p>
    <w:p>
      <w:r>
        <w:t>RANSAC, plane segmentation, ground detection, reinforcement learning, PPO, point cloud, LiDAR, adaptive parameter tuning, TartanAir, RELLIS-3D</w:t>
      </w:r>
    </w:p>
    <w:p>
      <w:r>
        <w:br w:type="page"/>
      </w:r>
    </w:p>
    <w:p>
      <w:pPr>
        <w:pStyle w:val="Heading1"/>
      </w:pPr>
      <w:r>
        <w:t>Table of Contents</w:t>
      </w:r>
    </w:p>
    <w:p>
      <w:pPr>
        <w:spacing w:after="80"/>
      </w:pPr>
      <w:r>
        <w:t>1. Introduction</w:t>
      </w:r>
    </w:p>
    <w:p>
      <w:pPr>
        <w:spacing w:after="80"/>
      </w:pPr>
      <w:r>
        <w:t>2. Related Work: Efficient RANSAC</w:t>
      </w:r>
    </w:p>
    <w:p>
      <w:pPr>
        <w:spacing w:after="80"/>
      </w:pPr>
      <w:r>
        <w:t>3. Problem Formulation</w:t>
      </w:r>
    </w:p>
    <w:p>
      <w:pPr>
        <w:spacing w:after="80"/>
      </w:pPr>
      <w:r>
        <w:t>4. Method: Reinforcement Learning Pipeline</w:t>
      </w:r>
    </w:p>
    <w:p>
      <w:pPr>
        <w:spacing w:after="80"/>
      </w:pPr>
      <w:r>
        <w:t>5. Datasets</w:t>
      </w:r>
    </w:p>
    <w:p>
      <w:pPr>
        <w:spacing w:after="80"/>
      </w:pPr>
      <w:r>
        <w:t>6. Experimental Setup</w:t>
      </w:r>
    </w:p>
    <w:p>
      <w:pPr>
        <w:spacing w:after="80"/>
      </w:pPr>
      <w:r>
        <w:t>7. Results</w:t>
      </w:r>
    </w:p>
    <w:p>
      <w:pPr>
        <w:spacing w:after="80"/>
      </w:pPr>
      <w:r>
        <w:t>8. Discussion and Key Findings</w:t>
      </w:r>
    </w:p>
    <w:p>
      <w:pPr>
        <w:spacing w:after="80"/>
      </w:pPr>
      <w:r>
        <w:t>9. Limitations</w:t>
      </w:r>
    </w:p>
    <w:p>
      <w:pPr>
        <w:spacing w:after="80"/>
      </w:pPr>
      <w:r>
        <w:t>10. Future Work</w:t>
      </w:r>
    </w:p>
    <w:p>
      <w:pPr>
        <w:spacing w:after="80"/>
      </w:pPr>
      <w:r>
        <w:t>11. Conclusion</w:t>
      </w:r>
    </w:p>
    <w:p>
      <w:pPr>
        <w:spacing w:after="80"/>
      </w:pPr>
      <w:r>
        <w:t>Appendix A: Reward Formula Version History</w:t>
      </w:r>
    </w:p>
    <w:p>
      <w:pPr>
        <w:spacing w:after="80"/>
      </w:pPr>
      <w:r>
        <w:t>Appendix B: Repository / File Reference</w:t>
      </w:r>
    </w:p>
    <w:p>
      <w:pPr>
        <w:spacing w:after="80"/>
      </w:pPr>
      <w:r>
        <w:t>References</w:t>
      </w:r>
    </w:p>
    <w:p>
      <w:r>
        <w:br w:type="page"/>
      </w:r>
    </w:p>
    <w:p>
      <w:pPr>
        <w:pStyle w:val="Heading1"/>
      </w:pPr>
      <w:r>
        <w:t>1. Introduction</w:t>
      </w:r>
    </w:p>
    <w:p>
      <w:pPr>
        <w:pStyle w:val="Heading2"/>
      </w:pPr>
      <w:r>
        <w:t>1.1 Motivation</w:t>
      </w:r>
    </w:p>
    <w:p>
      <w:r>
        <w:t>Autonomous ground vehicles and mobile robots rely on separating LiDAR point clouds into “ground” (traversable) and “non-ground” (obstacle) points before any higher-level planning can occur. RANSAC-based plane fitting is a common, model-free approach to this problem: it requires no training data and generalizes across sensors, but its behaviour is controlled by hand-set parameters that trade off strictness against recall. A threshold tuned for a smooth indoor floor will reject most of a bumpy forest floor as non-planar, while a threshold loose enough for rough outdoor terrain will misclassify walls and furniture as ground indoors. Because a single fixed parameter set cannot serve every scene well, this project investigates whether a learned policy can select scene-appropriate RANSAC parameters automatically, on a per-frame basis.</w:t>
      </w:r>
    </w:p>
    <w:p>
      <w:pPr>
        <w:pStyle w:val="Heading2"/>
      </w:pPr>
      <w:r>
        <w:t>1.2 Core Idea</w:t>
      </w:r>
    </w:p>
    <w:p>
      <w:r>
        <w:t>The central hypothesis is that ground-plane detection can be treated as a short sequential decision process rather than a single static configuration or a single-shot prediction: an agent observes geometric features of the current point cloud together with feedback from its own previous attempt, chooses RANSAC parameters, and may either accept the result or spend another attempt refining it, up to five attempts per frame. Because the reward is computed purely from geometric properties of the RANSAC output itself (inlier ratio, residual, and plane-normal verticality) rather than from ground-truth labels, the agent can be trained without a manually annotated dataset.</w:t>
      </w:r>
    </w:p>
    <w:p>
      <w:pPr>
        <w:pStyle w:val="Heading2"/>
      </w:pPr>
      <w:r>
        <w:t>1.3 Scope of This Report</w:t>
      </w:r>
    </w:p>
    <w:p>
      <w:r>
        <w:t>This report distinguishes between the project's original design vision and what has actually been implemented and measured. The initial idea document proposed five “novelty pillars”: (1) multi-step refinement episodes, (2) adaptive stopping, (3) learned point-sampling weights, (4) a fully self-supervised reward, and (5) a hierarchical terrain-classification policy with specialised sub-policies. Of these, pillars 1, 2, and 4 have been implemented and evaluated; pillars 3 and 5, along with a planned PointNet++ scene encoder and SAC-based training, remain future work. This report presents results only for what has actually been built and measured, and flags projected/aspirational figures explicitly where they appear in project planning documents.</w:t>
      </w:r>
    </w:p>
    <w:p>
      <w:r>
        <w:br w:type="page"/>
      </w:r>
    </w:p>
    <w:p>
      <w:pPr>
        <w:pStyle w:val="Heading1"/>
      </w:pPr>
      <w:r>
        <w:t>2. Related Work: Efficient RANSAC</w:t>
      </w:r>
    </w:p>
    <w:p>
      <w:r>
        <w:t>The underlying shape-detection engine is Efficient RANSAC for Point-Cloud Shape Detection (Schnabel, Wahl &amp; Klein, Computer Graphics Forum 26:2, 2007). The reference C++ implementation is vendored in this project and exposed to Python through a hand-written Cython bridge, giving native-speed plane detection callable from the RL training loop.</w:t>
      </w:r>
    </w:p>
    <w:p>
      <w:pPr>
        <w:pStyle w:val="Heading2"/>
      </w:pPr>
      <w:r>
        <w:t>2.1 Algorithm Summary</w:t>
      </w:r>
    </w:p>
    <w:p>
      <w:pPr>
        <w:pStyle w:val="ListBullet"/>
      </w:pPr>
      <w:r>
        <w:t>Builds a stratified multi-level octree over the point cloud, plus one global indexed octree.</w:t>
      </w:r>
    </w:p>
    <w:p>
      <w:pPr>
        <w:pStyle w:val="ListBullet"/>
      </w:pPr>
      <w:r>
        <w:t>Each round samples 200 candidate planes (minimal-sample generation), scored progressively on growing subsets using hypergeometric-distribution statistical bounds; a candidate is accepted once its estimated failure probability drops below a configurable threshold (default 0.001).</w:t>
      </w:r>
    </w:p>
    <w:p>
      <w:pPr>
        <w:pStyle w:val="ListBullet"/>
      </w:pPr>
      <w:r>
        <w:t>Inlier scoring during the competitive/subset phase uses a distance threshold of 1×epsilon, but the final accepted inlier set is computed at 3×epsilon — a hardcoded multiplier, not user-configurable.</w:t>
      </w:r>
    </w:p>
    <w:p>
      <w:pPr>
        <w:pStyle w:val="ListBullet"/>
      </w:pPr>
      <w:r>
        <w:t>Gaussian point weighting (σ = epsilon/3) and connected-component “bitmap” filtering discard inliers that do not form one spatially contiguous patch.</w:t>
      </w:r>
    </w:p>
    <w:p>
      <w:pPr>
        <w:pStyle w:val="ListBullet"/>
      </w:pPr>
      <w:r>
        <w:t>Up to three least-squares refinement passes are applied after a shape is accepted.</w:t>
      </w:r>
    </w:p>
    <w:p>
      <w:pPr>
        <w:pStyle w:val="ListBullet"/>
      </w:pPr>
      <w:r>
        <w:t>Supports plane, sphere, cylinder, cone and torus primitives; this project restricts detection to planes only.</w:t>
      </w:r>
    </w:p>
    <w:p>
      <w:pPr>
        <w:pStyle w:val="Heading2"/>
      </w:pPr>
      <w:r>
        <w:t>2.2 Why Fixed Parameters Are Insufficient</w:t>
      </w:r>
    </w:p>
    <w:p>
      <w:r>
        <w:t>The three RANSAC parameters most responsible for detection quality are epsilon (inlier distance threshold), min_support (minimum inlier count to accept a plane), and normal_threshold (how closely a candidate plane's normal must align with “vertical”, i.e. horizontal-in-world-terms, to be accepted as ground-like). A conservative (“strict”) setting enforces near-perfect flatness and a large inlier count — well suited to smooth indoor floors but liable to reject entire outdoor frames as having no valid ground plane. A permissive (“loose”) setting tolerates rougher terrain but increases the risk of misclassifying walls or large indoor objects as ground. This trade-off, and its dependence on scene type, motivates the adaptive, per-frame parameter selection explored in this report.</w:t>
      </w:r>
    </w:p>
    <w:p>
      <w:r>
        <w:br w:type="page"/>
      </w:r>
    </w:p>
    <w:p>
      <w:pPr>
        <w:pStyle w:val="Heading1"/>
      </w:pPr>
      <w:r>
        <w:t>3. Problem Formulation</w:t>
      </w:r>
    </w:p>
    <w:p>
      <w:r>
        <w:t>Per-frame RANSAC parameter selection is formulated as a finite-horizon Markov Decision Process (MDP), implemented as a Gymnasium-compatible environment (RansacEnv).</w:t>
      </w:r>
    </w:p>
    <w:p>
      <w:pPr>
        <w:pStyle w:val="Heading2"/>
      </w:pPr>
      <w:r>
        <w:t>3.1 Episode Structure</w:t>
      </w:r>
    </w:p>
    <w:p>
      <w:r>
        <w:t>One episode corresponds to one LiDAR frame. At each of up to five steps, the agent selects RANSAC parameters and a stop/continue decision; each non-terminal step invokes the Efficient RANSAC detector once. The episode ends either when the agent chooses to stop or after the fifth attempt.</w:t>
      </w:r>
    </w:p>
    <w:p>
      <w:pPr>
        <w:pStyle w:val="Heading2"/>
      </w:pPr>
      <w:r>
        <w:t>3.2 State / Observation Space</w:t>
      </w:r>
    </w:p>
    <w:p>
      <w:r>
        <w:t>The observation is a 31-dimensional continuous vector, normalised online via Stable-Baselines3's VecNormalize wrapper (observation and reward normalisation, clipped to ±10), split into two groups: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5E8C"/>
          </w:tcPr>
          <w:p>
            <w:pPr>
              <w:spacing w:after="40"/>
            </w:pPr>
            <w:r>
              <w:rPr>
                <w:b/>
                <w:color w:val="FFFFFF"/>
              </w:rPr>
              <w:t>Group</w:t>
            </w:r>
          </w:p>
        </w:tc>
        <w:tc>
          <w:tcPr>
            <w:tcW w:type="dxa" w:w="2880"/>
            <w:shd w:fill="2E5E8C"/>
          </w:tcPr>
          <w:p>
            <w:pPr>
              <w:spacing w:after="40"/>
            </w:pPr>
            <w:r>
              <w:rPr>
                <w:b/>
                <w:color w:val="FFFFFF"/>
              </w:rPr>
              <w:t>Dimensions</w:t>
            </w:r>
          </w:p>
        </w:tc>
        <w:tc>
          <w:tcPr>
            <w:tcW w:type="dxa" w:w="2880"/>
            <w:shd w:fill="2E5E8C"/>
          </w:tcPr>
          <w:p>
            <w:pPr>
              <w:spacing w:after="40"/>
            </w:pPr>
            <w:r>
              <w:rPr>
                <w:b/>
                <w:color w:val="FFFFFF"/>
              </w:rPr>
              <w:t>Contents</w:t>
            </w:r>
          </w:p>
        </w:tc>
      </w:tr>
      <w:tr>
        <w:tc>
          <w:tcPr>
            <w:tcW w:type="dxa" w:w="2880"/>
          </w:tcPr>
          <w:p>
            <w:pPr>
              <w:spacing w:after="40"/>
            </w:pPr>
            <w:r>
              <w:rPr>
                <w:sz w:val="20"/>
              </w:rPr>
              <w:t>Scene features</w:t>
              <w:br/>
              <w:t>(computed once per episode)</w:t>
            </w:r>
          </w:p>
        </w:tc>
        <w:tc>
          <w:tcPr>
            <w:tcW w:type="dxa" w:w="2880"/>
          </w:tcPr>
          <w:p>
            <w:pPr>
              <w:spacing w:after="40"/>
            </w:pPr>
            <w:r>
              <w:rPr>
                <w:sz w:val="20"/>
              </w:rPr>
              <w:t>21</w:t>
            </w:r>
          </w:p>
        </w:tc>
        <w:tc>
          <w:tcPr>
            <w:tcW w:type="dxa" w:w="2880"/>
          </w:tcPr>
          <w:p>
            <w:pPr>
              <w:spacing w:after="40"/>
            </w:pPr>
            <w:r>
              <w:rPr>
                <w:sz w:val="20"/>
              </w:rPr>
              <w:t>Bounding-box extents and volume, point density, Z mean/std/min/max, scan-range mean/std, PCA covariance eigenvalues (3), point-normal std (3 axes), normal consistency, ground-region Z density, estimated ground slope, mean k-NN distance</w:t>
            </w:r>
          </w:p>
        </w:tc>
      </w:tr>
      <w:tr>
        <w:tc>
          <w:tcPr>
            <w:tcW w:type="dxa" w:w="2880"/>
          </w:tcPr>
          <w:p>
            <w:pPr>
              <w:spacing w:after="40"/>
            </w:pPr>
            <w:r>
              <w:rPr>
                <w:sz w:val="20"/>
              </w:rPr>
              <w:t>Feedback features</w:t>
              <w:br/>
              <w:t>(recomputed every step)</w:t>
            </w:r>
          </w:p>
        </w:tc>
        <w:tc>
          <w:tcPr>
            <w:tcW w:type="dxa" w:w="2880"/>
          </w:tcPr>
          <w:p>
            <w:pPr>
              <w:spacing w:after="40"/>
            </w:pPr>
            <w:r>
              <w:rPr>
                <w:sz w:val="20"/>
              </w:rPr>
              <w:t>10</w:t>
            </w:r>
          </w:p>
        </w:tc>
        <w:tc>
          <w:tcPr>
            <w:tcW w:type="dxa" w:w="2880"/>
          </w:tcPr>
          <w:p>
            <w:pPr>
              <w:spacing w:after="40"/>
            </w:pPr>
            <w:r>
              <w:rPr>
                <w:sz w:val="20"/>
              </w:rPr>
              <w:t>Current inlier ratio, mean residual, detected plane normal (3 components), current step count, and the previous step's inlier ratio, epsilon, min_support and normal_thresh</w:t>
            </w:r>
          </w:p>
        </w:tc>
      </w:tr>
    </w:tbl>
    <w:p/>
    <w:p>
      <w:pPr>
        <w:pStyle w:val="Heading2"/>
      </w:pPr>
      <w:r>
        <w:t>3.3 Action Space</w:t>
      </w:r>
    </w:p>
    <w:p>
      <w:r>
        <w:t>The action space is MultiDiscrete([8, 6, 6, 2]) — four independent discrete sub-actions chosen jointly at every step: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5E8C"/>
          </w:tcPr>
          <w:p>
            <w:pPr>
              <w:spacing w:after="40"/>
            </w:pPr>
            <w:r>
              <w:rPr>
                <w:b/>
                <w:color w:val="FFFFFF"/>
              </w:rPr>
              <w:t>Sub-action</w:t>
            </w:r>
          </w:p>
        </w:tc>
        <w:tc>
          <w:tcPr>
            <w:tcW w:type="dxa" w:w="2880"/>
            <w:shd w:fill="2E5E8C"/>
          </w:tcPr>
          <w:p>
            <w:pPr>
              <w:spacing w:after="40"/>
            </w:pPr>
            <w:r>
              <w:rPr>
                <w:b/>
                <w:color w:val="FFFFFF"/>
              </w:rPr>
              <w:t>Levels</w:t>
            </w:r>
          </w:p>
        </w:tc>
        <w:tc>
          <w:tcPr>
            <w:tcW w:type="dxa" w:w="2880"/>
            <w:shd w:fill="2E5E8C"/>
          </w:tcPr>
          <w:p>
            <w:pPr>
              <w:spacing w:after="40"/>
            </w:pPr>
            <w:r>
              <w:rPr>
                <w:b/>
                <w:color w:val="FFFFFF"/>
              </w:rPr>
              <w:t>Value set</w:t>
            </w:r>
          </w:p>
        </w:tc>
      </w:tr>
      <w:tr>
        <w:tc>
          <w:tcPr>
            <w:tcW w:type="dxa" w:w="2880"/>
          </w:tcPr>
          <w:p>
            <w:pPr>
              <w:spacing w:after="40"/>
            </w:pPr>
            <w:r>
              <w:rPr>
                <w:sz w:val="20"/>
              </w:rPr>
              <w:t>epsilon (m)</w:t>
            </w:r>
          </w:p>
        </w:tc>
        <w:tc>
          <w:tcPr>
            <w:tcW w:type="dxa" w:w="2880"/>
          </w:tcPr>
          <w:p>
            <w:pPr>
              <w:spacing w:after="40"/>
            </w:pPr>
            <w:r>
              <w:rPr>
                <w:sz w:val="20"/>
              </w:rPr>
              <w:t>8</w:t>
            </w:r>
          </w:p>
        </w:tc>
        <w:tc>
          <w:tcPr>
            <w:tcW w:type="dxa" w:w="2880"/>
          </w:tcPr>
          <w:p>
            <w:pPr>
              <w:spacing w:after="40"/>
            </w:pPr>
            <w:r>
              <w:rPr>
                <w:sz w:val="20"/>
              </w:rPr>
              <w:t>0.05, 0.10, 0.15, 0.20, 0.25, 0.30, 0.40, 0.50</w:t>
            </w:r>
          </w:p>
        </w:tc>
      </w:tr>
      <w:tr>
        <w:tc>
          <w:tcPr>
            <w:tcW w:type="dxa" w:w="2880"/>
          </w:tcPr>
          <w:p>
            <w:pPr>
              <w:spacing w:after="40"/>
            </w:pPr>
            <w:r>
              <w:rPr>
                <w:sz w:val="20"/>
              </w:rPr>
              <w:t>min_support</w:t>
            </w:r>
          </w:p>
        </w:tc>
        <w:tc>
          <w:tcPr>
            <w:tcW w:type="dxa" w:w="2880"/>
          </w:tcPr>
          <w:p>
            <w:pPr>
              <w:spacing w:after="40"/>
            </w:pPr>
            <w:r>
              <w:rPr>
                <w:sz w:val="20"/>
              </w:rPr>
              <w:t>6</w:t>
            </w:r>
          </w:p>
        </w:tc>
        <w:tc>
          <w:tcPr>
            <w:tcW w:type="dxa" w:w="2880"/>
          </w:tcPr>
          <w:p>
            <w:pPr>
              <w:spacing w:after="40"/>
            </w:pPr>
            <w:r>
              <w:rPr>
                <w:sz w:val="20"/>
              </w:rPr>
              <w:t>50, 100, 200, 300, 500, 800</w:t>
            </w:r>
          </w:p>
        </w:tc>
      </w:tr>
      <w:tr>
        <w:tc>
          <w:tcPr>
            <w:tcW w:type="dxa" w:w="2880"/>
          </w:tcPr>
          <w:p>
            <w:pPr>
              <w:spacing w:after="40"/>
            </w:pPr>
            <w:r>
              <w:rPr>
                <w:sz w:val="20"/>
              </w:rPr>
              <w:t>normal_threshold</w:t>
            </w:r>
          </w:p>
        </w:tc>
        <w:tc>
          <w:tcPr>
            <w:tcW w:type="dxa" w:w="2880"/>
          </w:tcPr>
          <w:p>
            <w:pPr>
              <w:spacing w:after="40"/>
            </w:pPr>
            <w:r>
              <w:rPr>
                <w:sz w:val="20"/>
              </w:rPr>
              <w:t>6</w:t>
            </w:r>
          </w:p>
        </w:tc>
        <w:tc>
          <w:tcPr>
            <w:tcW w:type="dxa" w:w="2880"/>
          </w:tcPr>
          <w:p>
            <w:pPr>
              <w:spacing w:after="40"/>
            </w:pPr>
            <w:r>
              <w:rPr>
                <w:sz w:val="20"/>
              </w:rPr>
              <w:t>0.80, 0.85, 0.88, 0.90, 0.93, 0.95</w:t>
            </w:r>
          </w:p>
        </w:tc>
      </w:tr>
      <w:tr>
        <w:tc>
          <w:tcPr>
            <w:tcW w:type="dxa" w:w="2880"/>
          </w:tcPr>
          <w:p>
            <w:pPr>
              <w:spacing w:after="40"/>
            </w:pPr>
            <w:r>
              <w:rPr>
                <w:sz w:val="20"/>
              </w:rPr>
              <w:t>stop / continue</w:t>
            </w:r>
          </w:p>
        </w:tc>
        <w:tc>
          <w:tcPr>
            <w:tcW w:type="dxa" w:w="2880"/>
          </w:tcPr>
          <w:p>
            <w:pPr>
              <w:spacing w:after="40"/>
            </w:pPr>
            <w:r>
              <w:rPr>
                <w:sz w:val="20"/>
              </w:rPr>
              <w:t>2</w:t>
            </w:r>
          </w:p>
        </w:tc>
        <w:tc>
          <w:tcPr>
            <w:tcW w:type="dxa" w:w="2880"/>
          </w:tcPr>
          <w:p>
            <w:pPr>
              <w:spacing w:after="40"/>
            </w:pPr>
            <w:r>
              <w:rPr>
                <w:sz w:val="20"/>
              </w:rPr>
              <w:t>0 = stop and accept, 1 = continue refining</w:t>
            </w:r>
          </w:p>
        </w:tc>
      </w:tr>
    </w:tbl>
    <w:p/>
    <w:p>
      <w:pPr>
        <w:spacing w:before="80" w:after="200"/>
        <w:ind w:left="283"/>
      </w:pPr>
      <w:r>
        <w:rPr>
          <w:b/>
          <w:i/>
          <w:color w:val="B05A00"/>
          <w:sz w:val="20"/>
        </w:rPr>
        <w:t xml:space="preserve">Note: </w:t>
      </w:r>
      <w:r>
        <w:rPr>
          <w:i/>
          <w:color w:val="B05A00"/>
          <w:sz w:val="20"/>
        </w:rPr>
        <w:t>The normal_threshold sub-action was added later in the project (originally the action space had 3 sub-actions with normal_threshold fixed at 0.90). It was promoted from planned future work to an implemented action because the coupling between epsilon and normal_threshold was judged too important to leave fixed. Some earlier project documentation still describes the 3-action space; ransac_env.py is the authoritative current specification.</w:t>
      </w:r>
    </w:p>
    <w:p>
      <w:r>
        <w:t>Parameters held fixed (not agent-controlled): k-NN for normal estimation (20, expensive to change since it requires a full normal recomputation), RANSAC success probability (0.001), candidates generated per round (200, hardcoded in the C++ core), and bitmap epsilon (automatically 2× the chosen epsilon).</w:t>
      </w:r>
    </w:p>
    <w:p>
      <w:pPr>
        <w:pStyle w:val="Heading2"/>
      </w:pPr>
      <w:r>
        <w:t>3.4 Reward Function</w:t>
      </w:r>
    </w:p>
    <w:p>
      <w:r>
        <w:t>The current reward is a potential-based shaping function computed at every step (not only at episode end), which preserves the same total-return objective as a terminal-only reward while providing a non-zero learning signal for intermediate refinement steps:</w:t>
      </w:r>
    </w:p>
    <w:p>
      <w:pPr>
        <w:jc w:val="center"/>
      </w:pPr>
      <w:r>
        <w:rPr>
          <w:i/>
          <w:sz w:val="23"/>
        </w:rPr>
        <w:t>Φ(s) = 1.0·inlier_ratio − 0.5·mean_residual + 0.15·z_align</w:t>
      </w:r>
    </w:p>
    <w:p>
      <w:pPr>
        <w:jc w:val="center"/>
      </w:pPr>
      <w:r>
        <w:rPr>
          <w:i/>
          <w:sz w:val="23"/>
        </w:rPr>
        <w:t>reward_t = Φ(s_t) − Φ(s_{t-1}) − 0.01</w:t>
      </w:r>
    </w:p>
    <w:p>
      <w:r>
        <w:t>where inlier_ratio is the fraction of points assigned to the detected ground plane, mean_residual is the mean absolute point-to-plane distance of inlier points, and z_align is the absolute Z-component of the detected plane's normal (verticality of the ground normal in the sensor's NED convention). The constant −0.01 is a flat per-step cost that discourages using extra refinement steps unless they measurably improve the plane fit. This reward requires no ground-truth labels, making training self-supervised on unlabelled LiDAR sequences. The reward formula went through three major revisions during development; see Appendix A for the full history and the empirical effect of each change.</w:t>
      </w:r>
    </w:p>
    <w:p>
      <w:pPr>
        <w:pStyle w:val="Heading2"/>
      </w:pPr>
      <w:r>
        <w:t>3.5 Ground-Plane Selection Among Multiple Detected Planes</w:t>
      </w:r>
    </w:p>
    <w:p>
      <w:r>
        <w:t>A single RANSAC call may return several planar candidates (e.g. a floor and a wall). The environment selects the ground candidate by: (1) estimating each candidate's normal via PCA, (2) discarding candidates whose normal is not sufficiently horizontal (|normal_z| ≥ 0.80), (3) among the remaining candidates, selecting the one with the highest average Z value (in the dataset's Z-down convention, this is the physically lowest surface), and (4) falling back to the largest plane by point count if no candidate passes the horizontality filter.</w:t>
      </w:r>
    </w:p>
    <w:p>
      <w:r>
        <w:br w:type="page"/>
      </w:r>
    </w:p>
    <w:p>
      <w:pPr>
        <w:pStyle w:val="Heading1"/>
      </w:pPr>
      <w:r>
        <w:t>4. Method: Reinforcement Learning Pipeline</w:t>
      </w:r>
    </w:p>
    <w:p>
      <w:pPr>
        <w:pStyle w:val="Heading2"/>
      </w:pPr>
      <w:r>
        <w:t>4.1 Algorithm</w:t>
      </w:r>
    </w:p>
    <w:p>
      <w:r>
        <w:t>The agent is trained with Proximal Policy Optimization (PPO) from Stable-Baselines3, using the default MlpPolicy: two hidden layers of 64 units with tanh activations, separate actor and critic heads. For the MultiDiscrete([8,6,6,2]) action space, the policy head produces four independent logit groups, each softmaxed independently; actions are sampled during training and taken greedily (argmax) during evaluation.</w:t>
      </w:r>
    </w:p>
    <w:tbl>
      <w:tblPr>
        <w:tblStyle w:val="LightGrid-Accent1"/>
        <w:tblW w:type="auto" w:w="0"/>
        <w:jc w:val="center"/>
        <w:tblLook w:firstColumn="1" w:firstRow="1" w:lastColumn="0" w:lastRow="0" w:noHBand="0" w:noVBand="1" w:val="04A0"/>
      </w:tblPr>
      <w:tblGrid>
        <w:gridCol w:w="4320"/>
        <w:gridCol w:w="4320"/>
      </w:tblGrid>
      <w:tr>
        <w:tc>
          <w:tcPr>
            <w:tcW w:type="dxa" w:w="4320"/>
            <w:shd w:fill="2E5E8C"/>
          </w:tcPr>
          <w:p>
            <w:pPr>
              <w:spacing w:after="40"/>
            </w:pPr>
            <w:r>
              <w:rPr>
                <w:b/>
                <w:color w:val="FFFFFF"/>
              </w:rPr>
              <w:t>Hyperparameter</w:t>
            </w:r>
          </w:p>
        </w:tc>
        <w:tc>
          <w:tcPr>
            <w:tcW w:type="dxa" w:w="4320"/>
            <w:shd w:fill="2E5E8C"/>
          </w:tcPr>
          <w:p>
            <w:pPr>
              <w:spacing w:after="40"/>
            </w:pPr>
            <w:r>
              <w:rPr>
                <w:b/>
                <w:color w:val="FFFFFF"/>
              </w:rPr>
              <w:t>Value</w:t>
            </w:r>
          </w:p>
        </w:tc>
      </w:tr>
      <w:tr>
        <w:tc>
          <w:tcPr>
            <w:tcW w:type="dxa" w:w="4320"/>
          </w:tcPr>
          <w:p>
            <w:pPr>
              <w:spacing w:after="40"/>
            </w:pPr>
            <w:r>
              <w:rPr>
                <w:sz w:val="20"/>
              </w:rPr>
              <w:t>Algorithm</w:t>
            </w:r>
          </w:p>
        </w:tc>
        <w:tc>
          <w:tcPr>
            <w:tcW w:type="dxa" w:w="4320"/>
          </w:tcPr>
          <w:p>
            <w:pPr>
              <w:spacing w:after="40"/>
            </w:pPr>
            <w:r>
              <w:rPr>
                <w:sz w:val="20"/>
              </w:rPr>
              <w:t>PPO (Stable-Baselines3)</w:t>
            </w:r>
          </w:p>
        </w:tc>
      </w:tr>
      <w:tr>
        <w:tc>
          <w:tcPr>
            <w:tcW w:type="dxa" w:w="4320"/>
          </w:tcPr>
          <w:p>
            <w:pPr>
              <w:spacing w:after="40"/>
            </w:pPr>
            <w:r>
              <w:rPr>
                <w:sz w:val="20"/>
              </w:rPr>
              <w:t>Policy network</w:t>
            </w:r>
          </w:p>
        </w:tc>
        <w:tc>
          <w:tcPr>
            <w:tcW w:type="dxa" w:w="4320"/>
          </w:tcPr>
          <w:p>
            <w:pPr>
              <w:spacing w:after="40"/>
            </w:pPr>
            <w:r>
              <w:rPr>
                <w:sz w:val="20"/>
              </w:rPr>
              <w:t>MlpPolicy, 2 × 64 units, tanh</w:t>
            </w:r>
          </w:p>
        </w:tc>
      </w:tr>
      <w:tr>
        <w:tc>
          <w:tcPr>
            <w:tcW w:type="dxa" w:w="4320"/>
          </w:tcPr>
          <w:p>
            <w:pPr>
              <w:spacing w:after="40"/>
            </w:pPr>
            <w:r>
              <w:rPr>
                <w:sz w:val="20"/>
              </w:rPr>
              <w:t>Learning rate</w:t>
            </w:r>
          </w:p>
        </w:tc>
        <w:tc>
          <w:tcPr>
            <w:tcW w:type="dxa" w:w="4320"/>
          </w:tcPr>
          <w:p>
            <w:pPr>
              <w:spacing w:after="40"/>
            </w:pPr>
            <w:r>
              <w:rPr>
                <w:sz w:val="20"/>
              </w:rPr>
              <w:t>3e-4</w:t>
            </w:r>
          </w:p>
        </w:tc>
      </w:tr>
      <w:tr>
        <w:tc>
          <w:tcPr>
            <w:tcW w:type="dxa" w:w="4320"/>
          </w:tcPr>
          <w:p>
            <w:pPr>
              <w:spacing w:after="40"/>
            </w:pPr>
            <w:r>
              <w:rPr>
                <w:sz w:val="20"/>
              </w:rPr>
              <w:t>Entropy coefficient</w:t>
            </w:r>
          </w:p>
        </w:tc>
        <w:tc>
          <w:tcPr>
            <w:tcW w:type="dxa" w:w="4320"/>
          </w:tcPr>
          <w:p>
            <w:pPr>
              <w:spacing w:after="40"/>
            </w:pPr>
            <w:r>
              <w:rPr>
                <w:sz w:val="20"/>
              </w:rPr>
              <w:t>0.01</w:t>
            </w:r>
          </w:p>
        </w:tc>
      </w:tr>
      <w:tr>
        <w:tc>
          <w:tcPr>
            <w:tcW w:type="dxa" w:w="4320"/>
          </w:tcPr>
          <w:p>
            <w:pPr>
              <w:spacing w:after="40"/>
            </w:pPr>
            <w:r>
              <w:rPr>
                <w:sz w:val="20"/>
              </w:rPr>
              <w:t>Observation/reward normalisation</w:t>
            </w:r>
          </w:p>
        </w:tc>
        <w:tc>
          <w:tcPr>
            <w:tcW w:type="dxa" w:w="4320"/>
          </w:tcPr>
          <w:p>
            <w:pPr>
              <w:spacing w:after="40"/>
            </w:pPr>
            <w:r>
              <w:rPr>
                <w:sz w:val="20"/>
              </w:rPr>
              <w:t>VecNormalize (norm_obs=True, norm_reward=True, clip_obs=10.0)</w:t>
            </w:r>
          </w:p>
        </w:tc>
      </w:tr>
      <w:tr>
        <w:tc>
          <w:tcPr>
            <w:tcW w:type="dxa" w:w="4320"/>
          </w:tcPr>
          <w:p>
            <w:pPr>
              <w:spacing w:after="40"/>
            </w:pPr>
            <w:r>
              <w:rPr>
                <w:sz w:val="20"/>
              </w:rPr>
              <w:t>Device</w:t>
            </w:r>
          </w:p>
        </w:tc>
        <w:tc>
          <w:tcPr>
            <w:tcW w:type="dxa" w:w="4320"/>
          </w:tcPr>
          <w:p>
            <w:pPr>
              <w:spacing w:after="40"/>
            </w:pPr>
            <w:r>
              <w:rPr>
                <w:sz w:val="20"/>
              </w:rPr>
              <w:t>auto</w:t>
            </w:r>
          </w:p>
        </w:tc>
      </w:tr>
      <w:tr>
        <w:tc>
          <w:tcPr>
            <w:tcW w:type="dxa" w:w="4320"/>
          </w:tcPr>
          <w:p>
            <w:pPr>
              <w:spacing w:after="40"/>
            </w:pPr>
            <w:r>
              <w:rPr>
                <w:sz w:val="20"/>
              </w:rPr>
              <w:t>Other PPO hyperparameters</w:t>
            </w:r>
          </w:p>
        </w:tc>
        <w:tc>
          <w:tcPr>
            <w:tcW w:type="dxa" w:w="4320"/>
          </w:tcPr>
          <w:p>
            <w:pPr>
              <w:spacing w:after="40"/>
            </w:pPr>
            <w:r>
              <w:rPr>
                <w:sz w:val="20"/>
              </w:rPr>
              <w:t>Stable-Baselines3 defaults (not overridden)</w:t>
            </w:r>
          </w:p>
        </w:tc>
      </w:tr>
    </w:tbl>
    <w:p/>
    <w:p>
      <w:r>
        <w:t>PPO was chosen over Soft Actor-Critic (SAC), the algorithm named in the original idea document, because the action space here is a small mixed-discrete space, for which PPO is simpler to stabilise; SAC targets continuous action spaces and would require additional adaptation to this problem's discrete parameter grid.</w:t>
      </w:r>
    </w:p>
    <w:p>
      <w:pPr>
        <w:spacing w:before="80" w:after="200"/>
        <w:ind w:left="283"/>
      </w:pPr>
      <w:r>
        <w:rPr>
          <w:b/>
          <w:i/>
          <w:color w:val="B05A00"/>
          <w:sz w:val="20"/>
        </w:rPr>
        <w:t xml:space="preserve">Note: </w:t>
      </w:r>
      <w:r>
        <w:rPr>
          <w:i/>
          <w:color w:val="B05A00"/>
          <w:sz w:val="20"/>
        </w:rPr>
        <w:t>The entropy coefficient of 0.01 is not an arbitrary default — it was introduced as a direct fix for an observed policy-collapse failure (see Section 8.3), where a model trained without an entropy bonus and without observation normalisation converged to picking a single constant action for effectively every frame.</w:t>
      </w:r>
    </w:p>
    <w:p>
      <w:pPr>
        <w:pStyle w:val="Heading2"/>
      </w:pPr>
      <w:r>
        <w:t>4.2 Training Infrastructure</w:t>
      </w:r>
    </w:p>
    <w:p>
      <w:pPr>
        <w:pStyle w:val="ListBullet"/>
      </w:pPr>
      <w:r>
        <w:t>Checkpoints (model weights and the matching VecNormalize statistics) are saved every 1,000 timesteps via a CheckpointCallback.</w:t>
      </w:r>
    </w:p>
    <w:p>
      <w:pPr>
        <w:pStyle w:val="ListBullet"/>
      </w:pPr>
      <w:r>
        <w:t>Runs are versioned with a --tag argument so that repeated experiments do not overwrite earlier checkpoints.</w:t>
      </w:r>
    </w:p>
    <w:p>
      <w:pPr>
        <w:pStyle w:val="ListBullet"/>
      </w:pPr>
      <w:r>
        <w:t>Training can be resumed from a checkpoint via --load / --vecnormalize; a fix was applied so that resumed runs correctly continue the timestep counter rather than silently overwriting earlier checkpoints.</w:t>
      </w:r>
    </w:p>
    <w:p>
      <w:pPr>
        <w:pStyle w:val="Heading2"/>
      </w:pPr>
      <w:r>
        <w:t>4.3 Adaptive Curriculum Sampling</w:t>
      </w:r>
    </w:p>
    <w:p>
      <w:r>
        <w:t>Rather than sampling training frames uniformly at random across environments, the environment maintains an exponential moving average of reward per source folder (folder_reward = 0.9·folder_reward + 0.1·reward, updated at the end of every episode) and samples the next episode's environment from a softmax over the inverse of these per-folder rewards. This biases training toward environments the agent is currently performing worst on, functioning as an automatic curriculum / hard-example mining mechanism rather than uniform random sampling.</w:t>
      </w:r>
    </w:p>
    <w:p>
      <w:pPr>
        <w:pStyle w:val="Heading2"/>
      </w:pPr>
      <w:r>
        <w:t>4.4 Preprocessing</w:t>
      </w:r>
    </w:p>
    <w:p>
      <w:r>
        <w:t>Each frame's raw LiDAR point cloud is voxel-downsampled at a fixed voxel size of 0.05 m (Open3D voxel_down_sample) once at episode start; the voxel size is not currently agent-controlled (adaptive voxel size was planned as future work — see Section 10).</w:t>
      </w:r>
    </w:p>
    <w:p>
      <w:r>
        <w:br w:type="page"/>
      </w:r>
    </w:p>
    <w:p>
      <w:pPr>
        <w:pStyle w:val="Heading1"/>
      </w:pPr>
      <w:r>
        <w:t>5. Datasets</w:t>
      </w:r>
    </w:p>
    <w:p>
      <w:pPr>
        <w:pStyle w:val="Heading2"/>
      </w:pPr>
      <w:r>
        <w:t>5.1 TartanAir (Primary Training and Evaluation Dataset)</w:t>
      </w:r>
    </w:p>
    <w:p>
      <w:r>
        <w:t>TartanAir is a simulated multi-environment dataset providing per-frame LiDAR point clouds (NED / Z-down convention) across a diverse set of indoor and outdoor scenes. Nine environments were used for training and baseline comparison, plus six additional environments reserved strictly for generalisation testing.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5E8C"/>
          </w:tcPr>
          <w:p>
            <w:pPr>
              <w:spacing w:after="40"/>
            </w:pPr>
            <w:r>
              <w:rPr>
                <w:b/>
                <w:color w:val="FFFFFF"/>
              </w:rPr>
              <w:t>#</w:t>
            </w:r>
          </w:p>
        </w:tc>
        <w:tc>
          <w:tcPr>
            <w:tcW w:type="dxa" w:w="2880"/>
            <w:shd w:fill="2E5E8C"/>
          </w:tcPr>
          <w:p>
            <w:pPr>
              <w:spacing w:after="40"/>
            </w:pPr>
            <w:r>
              <w:rPr>
                <w:b/>
                <w:color w:val="FFFFFF"/>
              </w:rPr>
              <w:t>Environment</w:t>
            </w:r>
          </w:p>
        </w:tc>
        <w:tc>
          <w:tcPr>
            <w:tcW w:type="dxa" w:w="2880"/>
            <w:shd w:fill="2E5E8C"/>
          </w:tcPr>
          <w:p>
            <w:pPr>
              <w:spacing w:after="40"/>
            </w:pPr>
            <w:r>
              <w:rPr>
                <w:b/>
                <w:color w:val="FFFFFF"/>
              </w:rPr>
              <w:t>Type</w:t>
            </w:r>
          </w:p>
        </w:tc>
      </w:tr>
      <w:tr>
        <w:tc>
          <w:tcPr>
            <w:tcW w:type="dxa" w:w="2880"/>
          </w:tcPr>
          <w:p>
            <w:pPr>
              <w:spacing w:after="40"/>
            </w:pPr>
            <w:r>
              <w:rPr>
                <w:sz w:val="20"/>
              </w:rPr>
              <w:t>1</w:t>
            </w:r>
          </w:p>
        </w:tc>
        <w:tc>
          <w:tcPr>
            <w:tcW w:type="dxa" w:w="2880"/>
          </w:tcPr>
          <w:p>
            <w:pPr>
              <w:spacing w:after="40"/>
            </w:pPr>
            <w:r>
              <w:rPr>
                <w:sz w:val="20"/>
              </w:rPr>
              <w:t>Downtown</w:t>
            </w:r>
          </w:p>
        </w:tc>
        <w:tc>
          <w:tcPr>
            <w:tcW w:type="dxa" w:w="2880"/>
          </w:tcPr>
          <w:p>
            <w:pPr>
              <w:spacing w:after="40"/>
            </w:pPr>
            <w:r>
              <w:rPr>
                <w:sz w:val="20"/>
              </w:rPr>
              <w:t>Urban outdoor</w:t>
            </w:r>
          </w:p>
        </w:tc>
      </w:tr>
      <w:tr>
        <w:tc>
          <w:tcPr>
            <w:tcW w:type="dxa" w:w="2880"/>
          </w:tcPr>
          <w:p>
            <w:pPr>
              <w:spacing w:after="40"/>
            </w:pPr>
            <w:r>
              <w:rPr>
                <w:sz w:val="20"/>
              </w:rPr>
              <w:t>2</w:t>
            </w:r>
          </w:p>
        </w:tc>
        <w:tc>
          <w:tcPr>
            <w:tcW w:type="dxa" w:w="2880"/>
          </w:tcPr>
          <w:p>
            <w:pPr>
              <w:spacing w:after="40"/>
            </w:pPr>
            <w:r>
              <w:rPr>
                <w:sz w:val="20"/>
              </w:rPr>
              <w:t>Hospital</w:t>
            </w:r>
          </w:p>
        </w:tc>
        <w:tc>
          <w:tcPr>
            <w:tcW w:type="dxa" w:w="2880"/>
          </w:tcPr>
          <w:p>
            <w:pPr>
              <w:spacing w:after="40"/>
            </w:pPr>
            <w:r>
              <w:rPr>
                <w:sz w:val="20"/>
              </w:rPr>
              <w:t>Indoor</w:t>
            </w:r>
          </w:p>
        </w:tc>
      </w:tr>
      <w:tr>
        <w:tc>
          <w:tcPr>
            <w:tcW w:type="dxa" w:w="2880"/>
          </w:tcPr>
          <w:p>
            <w:pPr>
              <w:spacing w:after="40"/>
            </w:pPr>
            <w:r>
              <w:rPr>
                <w:sz w:val="20"/>
              </w:rPr>
              <w:t>3</w:t>
            </w:r>
          </w:p>
        </w:tc>
        <w:tc>
          <w:tcPr>
            <w:tcW w:type="dxa" w:w="2880"/>
          </w:tcPr>
          <w:p>
            <w:pPr>
              <w:spacing w:after="40"/>
            </w:pPr>
            <w:r>
              <w:rPr>
                <w:sz w:val="20"/>
              </w:rPr>
              <w:t>OldScandinavia</w:t>
            </w:r>
          </w:p>
        </w:tc>
        <w:tc>
          <w:tcPr>
            <w:tcW w:type="dxa" w:w="2880"/>
          </w:tcPr>
          <w:p>
            <w:pPr>
              <w:spacing w:after="40"/>
            </w:pPr>
            <w:r>
              <w:rPr>
                <w:sz w:val="20"/>
              </w:rPr>
              <w:t>Outdoor, rough terrain</w:t>
            </w:r>
          </w:p>
        </w:tc>
      </w:tr>
      <w:tr>
        <w:tc>
          <w:tcPr>
            <w:tcW w:type="dxa" w:w="2880"/>
          </w:tcPr>
          <w:p>
            <w:pPr>
              <w:spacing w:after="40"/>
            </w:pPr>
            <w:r>
              <w:rPr>
                <w:sz w:val="20"/>
              </w:rPr>
              <w:t>4</w:t>
            </w:r>
          </w:p>
        </w:tc>
        <w:tc>
          <w:tcPr>
            <w:tcW w:type="dxa" w:w="2880"/>
          </w:tcPr>
          <w:p>
            <w:pPr>
              <w:spacing w:after="40"/>
            </w:pPr>
            <w:r>
              <w:rPr>
                <w:sz w:val="20"/>
              </w:rPr>
              <w:t>OldTownFall</w:t>
            </w:r>
          </w:p>
        </w:tc>
        <w:tc>
          <w:tcPr>
            <w:tcW w:type="dxa" w:w="2880"/>
          </w:tcPr>
          <w:p>
            <w:pPr>
              <w:spacing w:after="40"/>
            </w:pPr>
            <w:r>
              <w:rPr>
                <w:sz w:val="20"/>
              </w:rPr>
              <w:t>Urban outdoor, autumn</w:t>
            </w:r>
          </w:p>
        </w:tc>
      </w:tr>
      <w:tr>
        <w:tc>
          <w:tcPr>
            <w:tcW w:type="dxa" w:w="2880"/>
          </w:tcPr>
          <w:p>
            <w:pPr>
              <w:spacing w:after="40"/>
            </w:pPr>
            <w:r>
              <w:rPr>
                <w:sz w:val="20"/>
              </w:rPr>
              <w:t>5</w:t>
            </w:r>
          </w:p>
        </w:tc>
        <w:tc>
          <w:tcPr>
            <w:tcW w:type="dxa" w:w="2880"/>
          </w:tcPr>
          <w:p>
            <w:pPr>
              <w:spacing w:after="40"/>
            </w:pPr>
            <w:r>
              <w:rPr>
                <w:sz w:val="20"/>
              </w:rPr>
              <w:t>Office</w:t>
            </w:r>
          </w:p>
        </w:tc>
        <w:tc>
          <w:tcPr>
            <w:tcW w:type="dxa" w:w="2880"/>
          </w:tcPr>
          <w:p>
            <w:pPr>
              <w:spacing w:after="40"/>
            </w:pPr>
            <w:r>
              <w:rPr>
                <w:sz w:val="20"/>
              </w:rPr>
              <w:t>Indoor, flat floor</w:t>
            </w:r>
          </w:p>
        </w:tc>
      </w:tr>
      <w:tr>
        <w:tc>
          <w:tcPr>
            <w:tcW w:type="dxa" w:w="2880"/>
          </w:tcPr>
          <w:p>
            <w:pPr>
              <w:spacing w:after="40"/>
            </w:pPr>
            <w:r>
              <w:rPr>
                <w:sz w:val="20"/>
              </w:rPr>
              <w:t>6</w:t>
            </w:r>
          </w:p>
        </w:tc>
        <w:tc>
          <w:tcPr>
            <w:tcW w:type="dxa" w:w="2880"/>
          </w:tcPr>
          <w:p>
            <w:pPr>
              <w:spacing w:after="40"/>
            </w:pPr>
            <w:r>
              <w:rPr>
                <w:sz w:val="20"/>
              </w:rPr>
              <w:t>SeasonalForestAutumn</w:t>
            </w:r>
          </w:p>
        </w:tc>
        <w:tc>
          <w:tcPr>
            <w:tcW w:type="dxa" w:w="2880"/>
          </w:tcPr>
          <w:p>
            <w:pPr>
              <w:spacing w:after="40"/>
            </w:pPr>
            <w:r>
              <w:rPr>
                <w:sz w:val="20"/>
              </w:rPr>
              <w:t>Outdoor forest</w:t>
            </w:r>
          </w:p>
        </w:tc>
      </w:tr>
      <w:tr>
        <w:tc>
          <w:tcPr>
            <w:tcW w:type="dxa" w:w="2880"/>
          </w:tcPr>
          <w:p>
            <w:pPr>
              <w:spacing w:after="40"/>
            </w:pPr>
            <w:r>
              <w:rPr>
                <w:sz w:val="20"/>
              </w:rPr>
              <w:t>7</w:t>
            </w:r>
          </w:p>
        </w:tc>
        <w:tc>
          <w:tcPr>
            <w:tcW w:type="dxa" w:w="2880"/>
          </w:tcPr>
          <w:p>
            <w:pPr>
              <w:spacing w:after="40"/>
            </w:pPr>
            <w:r>
              <w:rPr>
                <w:sz w:val="20"/>
              </w:rPr>
              <w:t>SeasonalForestSpring</w:t>
            </w:r>
          </w:p>
        </w:tc>
        <w:tc>
          <w:tcPr>
            <w:tcW w:type="dxa" w:w="2880"/>
          </w:tcPr>
          <w:p>
            <w:pPr>
              <w:spacing w:after="40"/>
            </w:pPr>
            <w:r>
              <w:rPr>
                <w:sz w:val="20"/>
              </w:rPr>
              <w:t>Outdoor forest</w:t>
            </w:r>
          </w:p>
        </w:tc>
      </w:tr>
      <w:tr>
        <w:tc>
          <w:tcPr>
            <w:tcW w:type="dxa" w:w="2880"/>
          </w:tcPr>
          <w:p>
            <w:pPr>
              <w:spacing w:after="40"/>
            </w:pPr>
            <w:r>
              <w:rPr>
                <w:sz w:val="20"/>
              </w:rPr>
              <w:t>8</w:t>
            </w:r>
          </w:p>
        </w:tc>
        <w:tc>
          <w:tcPr>
            <w:tcW w:type="dxa" w:w="2880"/>
          </w:tcPr>
          <w:p>
            <w:pPr>
              <w:spacing w:after="40"/>
            </w:pPr>
            <w:r>
              <w:rPr>
                <w:sz w:val="20"/>
              </w:rPr>
              <w:t>Sewerage</w:t>
            </w:r>
          </w:p>
        </w:tc>
        <w:tc>
          <w:tcPr>
            <w:tcW w:type="dxa" w:w="2880"/>
          </w:tcPr>
          <w:p>
            <w:pPr>
              <w:spacing w:after="40"/>
            </w:pPr>
            <w:r>
              <w:rPr>
                <w:sz w:val="20"/>
              </w:rPr>
              <w:t>Underground, narrow</w:t>
            </w:r>
          </w:p>
        </w:tc>
      </w:tr>
      <w:tr>
        <w:tc>
          <w:tcPr>
            <w:tcW w:type="dxa" w:w="2880"/>
          </w:tcPr>
          <w:p>
            <w:pPr>
              <w:spacing w:after="40"/>
            </w:pPr>
            <w:r>
              <w:rPr>
                <w:sz w:val="20"/>
              </w:rPr>
              <w:t>9</w:t>
            </w:r>
          </w:p>
        </w:tc>
        <w:tc>
          <w:tcPr>
            <w:tcW w:type="dxa" w:w="2880"/>
          </w:tcPr>
          <w:p>
            <w:pPr>
              <w:spacing w:after="40"/>
            </w:pPr>
            <w:r>
              <w:rPr>
                <w:sz w:val="20"/>
              </w:rPr>
              <w:t>Supermarket</w:t>
            </w:r>
          </w:p>
        </w:tc>
        <w:tc>
          <w:tcPr>
            <w:tcW w:type="dxa" w:w="2880"/>
          </w:tcPr>
          <w:p>
            <w:pPr>
              <w:spacing w:after="40"/>
            </w:pPr>
            <w:r>
              <w:rPr>
                <w:sz w:val="20"/>
              </w:rPr>
              <w:t>Indoor, large open space</w:t>
            </w:r>
          </w:p>
        </w:tc>
      </w:tr>
      <w:tr>
        <w:tc>
          <w:tcPr>
            <w:tcW w:type="dxa" w:w="2880"/>
          </w:tcPr>
          <w:p>
            <w:pPr>
              <w:spacing w:after="40"/>
            </w:pPr>
            <w:r>
              <w:rPr>
                <w:sz w:val="20"/>
              </w:rPr>
              <w:t>10</w:t>
            </w:r>
          </w:p>
        </w:tc>
        <w:tc>
          <w:tcPr>
            <w:tcW w:type="dxa" w:w="2880"/>
          </w:tcPr>
          <w:p>
            <w:pPr>
              <w:spacing w:after="40"/>
            </w:pPr>
            <w:r>
              <w:rPr>
                <w:sz w:val="20"/>
              </w:rPr>
              <w:t>SeasonalForestWinterNight</w:t>
            </w:r>
          </w:p>
        </w:tc>
        <w:tc>
          <w:tcPr>
            <w:tcW w:type="dxa" w:w="2880"/>
          </w:tcPr>
          <w:p>
            <w:pPr>
              <w:spacing w:after="40"/>
            </w:pPr>
            <w:r>
              <w:rPr>
                <w:sz w:val="20"/>
              </w:rPr>
              <w:t>Outdoor forest, night</w:t>
            </w:r>
          </w:p>
        </w:tc>
      </w:tr>
    </w:tbl>
    <w:p/>
    <w:p>
      <w:pPr>
        <w:spacing w:before="40" w:after="240"/>
      </w:pPr>
      <w:r>
        <w:rPr>
          <w:i/>
          <w:color w:val="595959"/>
          <w:sz w:val="19"/>
        </w:rPr>
        <w:t>Table 5.1 — TartanAir environments used for baseline evaluation and RL training/testing. Total frames evaluated across the baseline runs: 13,049.</w:t>
      </w:r>
    </w:p>
    <w:p>
      <w:pPr>
        <w:spacing w:before="80" w:after="200"/>
        <w:ind w:left="283"/>
      </w:pPr>
      <w:r>
        <w:rPr>
          <w:b/>
          <w:i/>
          <w:color w:val="B05A00"/>
          <w:sz w:val="20"/>
        </w:rPr>
        <w:t xml:space="preserve">Note: </w:t>
      </w:r>
      <w:r>
        <w:rPr>
          <w:i/>
          <w:color w:val="B05A00"/>
          <w:sz w:val="20"/>
        </w:rPr>
        <w:t>Per-dataset frame counts differ between BASELINE_CONFIG.md and the later per-frame comparison logs for several environments (e.g. Hospital, OldScandinavia, OldTownFall, SeasonalForestAutumn/Spring), most likely because additional frames were downloaded after the baseline document was written, or because the RL evaluation used a different frame subset than the original three-baseline sweep. This should be reconciled before quoting a single authoritative frame count in a final version of this report.</w:t>
      </w:r>
    </w:p>
    <w:p>
      <w:pPr>
        <w:pStyle w:val="Heading2"/>
      </w:pPr>
      <w:r>
        <w:t>5.2 Environment-Level and Frame-Level Holdout</w:t>
      </w:r>
    </w:p>
    <w:p>
      <w:r>
        <w:t>Two independent levels of holdout are used to test generalisation:</w:t>
      </w:r>
    </w:p>
    <w:p>
      <w:pPr>
        <w:pStyle w:val="ListBullet"/>
      </w:pPr>
      <w:r>
        <w:t>Environment-level holdout: six entire environments — Gascola, House, WesternDesertTown, CoalMine, AbandonedFactory and NordicHarbor — are excluded from training entirely and used only to test generalisation to unseen scene types. NordicHarbor in particular was kept held out to test generalisation to coastal/water scenes.</w:t>
      </w:r>
    </w:p>
    <w:p>
      <w:pPr>
        <w:pStyle w:val="ListBullet"/>
      </w:pPr>
      <w:r>
        <w:t>Frame-level holdout (within trained environments): frames are ordered chronologically (not shuffled) and split as [train | 2% gap | last 15% test]. This chronological split was a deliberate choice: consecutive LiDAR frames can be only centimetres apart and therefore near-duplicates, so a random per-frame split risks leaking near-identical frames across train and test; the gap buffer further isolates the split boundary.</w:t>
      </w:r>
    </w:p>
    <w:p>
      <w:pPr>
        <w:pStyle w:val="Heading2"/>
      </w:pPr>
      <w:r>
        <w:t>5.3 RELLIS-3D (Real-World Ground-Truth Evaluation)</w:t>
      </w:r>
    </w:p>
    <w:p>
      <w:r>
        <w:t>RELLIS-3D is a real-world, off-road LiDAR dataset (Ouster sensor, SemanticKITTI-format labels) with genuine human-annotated semantic labels, used here to enable ground-truth metrics (IoU, precision, recall, F1) that TartanAir's self-supervised proxy metric cannot provide. Ground-truth ground/non-ground masks are derived by mapping semantic label IDs {1: dirt, 3: grass, 10: asphalt, 23: concrete, 31: puddle, 33: mud} to “ground” and all other classes (tree, building, vehicle, person, water, etc.) to “not ground.”</w:t>
      </w:r>
    </w:p>
    <w:p>
      <w:r>
        <w:t>Data download and conversion infrastructure (download_rellis3d.py, rellis3d_convert.py) is complete: approximately 13,556 frames have been converted to the pipeline's point-cloud format with per-point ground-truth masks.</w:t>
      </w:r>
    </w:p>
    <w:p>
      <w:pPr>
        <w:spacing w:before="80" w:after="200"/>
        <w:ind w:left="283"/>
      </w:pPr>
      <w:r>
        <w:rPr>
          <w:b/>
          <w:i/>
          <w:color w:val="B05A00"/>
          <w:sz w:val="20"/>
        </w:rPr>
        <w:t xml:space="preserve">Note: </w:t>
      </w:r>
      <w:r>
        <w:rPr>
          <w:i/>
          <w:color w:val="B05A00"/>
          <w:sz w:val="20"/>
        </w:rPr>
        <w:t>The RELLIS-3D evaluation script (eval_rellis3d.py) has not yet been run to completion — no result CSVs exist for it at the time of writing. RELLIS-3D should currently be described as prepared infrastructure, not a completed experiment; no RELLIS-3D accuracy numbers should be quoted until this run is executed. Note also that early planning documents named SemanticKITTI (a different, though format-compatible, dataset) as the intended real-world benchmark; the project has since used RELLIS-3D instead.</w:t>
      </w:r>
    </w:p>
    <w:p>
      <w:r>
        <w:br w:type="page"/>
      </w:r>
    </w:p>
    <w:p>
      <w:pPr>
        <w:pStyle w:val="Heading1"/>
      </w:pPr>
      <w:r>
        <w:t>6. Experimental Setup</w:t>
      </w:r>
    </w:p>
    <w:p>
      <w:pPr>
        <w:pStyle w:val="Heading2"/>
      </w:pPr>
      <w:r>
        <w:t>6.1 Fixed-Parameter Baselines</w:t>
      </w:r>
    </w:p>
    <w:p>
      <w:r>
        <w:t>Three fixed-parameter configurations were run over all nine training-pool TartanAir environments on raw, undownsampled point clouds (the worst case for a fixed-parameter method, ensuring the baselines are not given a downsampling advantage the RL agent does not also have).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E5E8C"/>
          </w:tcPr>
          <w:p>
            <w:pPr>
              <w:spacing w:after="40"/>
            </w:pPr>
            <w:r>
              <w:rPr>
                <w:b/>
                <w:color w:val="FFFFFF"/>
              </w:rPr>
              <w:t>Parameter</w:t>
            </w:r>
          </w:p>
        </w:tc>
        <w:tc>
          <w:tcPr>
            <w:tcW w:type="dxa" w:w="2160"/>
            <w:shd w:fill="2E5E8C"/>
          </w:tcPr>
          <w:p>
            <w:pPr>
              <w:spacing w:after="40"/>
            </w:pPr>
            <w:r>
              <w:rPr>
                <w:b/>
                <w:color w:val="FFFFFF"/>
              </w:rPr>
              <w:t>Strict</w:t>
            </w:r>
          </w:p>
        </w:tc>
        <w:tc>
          <w:tcPr>
            <w:tcW w:type="dxa" w:w="2160"/>
            <w:shd w:fill="2E5E8C"/>
          </w:tcPr>
          <w:p>
            <w:pPr>
              <w:spacing w:after="40"/>
            </w:pPr>
            <w:r>
              <w:rPr>
                <w:b/>
                <w:color w:val="FFFFFF"/>
              </w:rPr>
              <w:t>Standard</w:t>
            </w:r>
          </w:p>
        </w:tc>
        <w:tc>
          <w:tcPr>
            <w:tcW w:type="dxa" w:w="2160"/>
            <w:shd w:fill="2E5E8C"/>
          </w:tcPr>
          <w:p>
            <w:pPr>
              <w:spacing w:after="40"/>
            </w:pPr>
            <w:r>
              <w:rPr>
                <w:b/>
                <w:color w:val="FFFFFF"/>
              </w:rPr>
              <w:t>Loose</w:t>
            </w:r>
          </w:p>
        </w:tc>
      </w:tr>
      <w:tr>
        <w:tc>
          <w:tcPr>
            <w:tcW w:type="dxa" w:w="2160"/>
          </w:tcPr>
          <w:p>
            <w:pPr>
              <w:spacing w:after="40"/>
            </w:pPr>
            <w:r>
              <w:rPr>
                <w:sz w:val="20"/>
              </w:rPr>
              <w:t>epsilon</w:t>
            </w:r>
          </w:p>
        </w:tc>
        <w:tc>
          <w:tcPr>
            <w:tcW w:type="dxa" w:w="2160"/>
          </w:tcPr>
          <w:p>
            <w:pPr>
              <w:spacing w:after="40"/>
            </w:pPr>
            <w:r>
              <w:rPr>
                <w:sz w:val="20"/>
              </w:rPr>
              <w:t>0.10 m</w:t>
            </w:r>
          </w:p>
        </w:tc>
        <w:tc>
          <w:tcPr>
            <w:tcW w:type="dxa" w:w="2160"/>
          </w:tcPr>
          <w:p>
            <w:pPr>
              <w:spacing w:after="40"/>
            </w:pPr>
            <w:r>
              <w:rPr>
                <w:sz w:val="20"/>
              </w:rPr>
              <w:t>0.15 m</w:t>
            </w:r>
          </w:p>
        </w:tc>
        <w:tc>
          <w:tcPr>
            <w:tcW w:type="dxa" w:w="2160"/>
          </w:tcPr>
          <w:p>
            <w:pPr>
              <w:spacing w:after="40"/>
            </w:pPr>
            <w:r>
              <w:rPr>
                <w:sz w:val="20"/>
              </w:rPr>
              <w:t>0.25 m</w:t>
            </w:r>
          </w:p>
        </w:tc>
      </w:tr>
      <w:tr>
        <w:tc>
          <w:tcPr>
            <w:tcW w:type="dxa" w:w="2160"/>
          </w:tcPr>
          <w:p>
            <w:pPr>
              <w:spacing w:after="40"/>
            </w:pPr>
            <w:r>
              <w:rPr>
                <w:sz w:val="20"/>
              </w:rPr>
              <w:t>min_support</w:t>
            </w:r>
          </w:p>
        </w:tc>
        <w:tc>
          <w:tcPr>
            <w:tcW w:type="dxa" w:w="2160"/>
          </w:tcPr>
          <w:p>
            <w:pPr>
              <w:spacing w:after="40"/>
            </w:pPr>
            <w:r>
              <w:rPr>
                <w:sz w:val="20"/>
              </w:rPr>
              <w:t>800</w:t>
            </w:r>
          </w:p>
        </w:tc>
        <w:tc>
          <w:tcPr>
            <w:tcW w:type="dxa" w:w="2160"/>
          </w:tcPr>
          <w:p>
            <w:pPr>
              <w:spacing w:after="40"/>
            </w:pPr>
            <w:r>
              <w:rPr>
                <w:sz w:val="20"/>
              </w:rPr>
              <w:t>500</w:t>
            </w:r>
          </w:p>
        </w:tc>
        <w:tc>
          <w:tcPr>
            <w:tcW w:type="dxa" w:w="2160"/>
          </w:tcPr>
          <w:p>
            <w:pPr>
              <w:spacing w:after="40"/>
            </w:pPr>
            <w:r>
              <w:rPr>
                <w:sz w:val="20"/>
              </w:rPr>
              <w:t>200</w:t>
            </w:r>
          </w:p>
        </w:tc>
      </w:tr>
      <w:tr>
        <w:tc>
          <w:tcPr>
            <w:tcW w:type="dxa" w:w="2160"/>
          </w:tcPr>
          <w:p>
            <w:pPr>
              <w:spacing w:after="40"/>
            </w:pPr>
            <w:r>
              <w:rPr>
                <w:sz w:val="20"/>
              </w:rPr>
              <w:t>normal_threshold</w:t>
            </w:r>
          </w:p>
        </w:tc>
        <w:tc>
          <w:tcPr>
            <w:tcW w:type="dxa" w:w="2160"/>
          </w:tcPr>
          <w:p>
            <w:pPr>
              <w:spacing w:after="40"/>
            </w:pPr>
            <w:r>
              <w:rPr>
                <w:sz w:val="20"/>
              </w:rPr>
              <w:t>0.90</w:t>
            </w:r>
          </w:p>
        </w:tc>
        <w:tc>
          <w:tcPr>
            <w:tcW w:type="dxa" w:w="2160"/>
          </w:tcPr>
          <w:p>
            <w:pPr>
              <w:spacing w:after="40"/>
            </w:pPr>
            <w:r>
              <w:rPr>
                <w:sz w:val="20"/>
              </w:rPr>
              <w:t>0.85</w:t>
            </w:r>
          </w:p>
        </w:tc>
        <w:tc>
          <w:tcPr>
            <w:tcW w:type="dxa" w:w="2160"/>
          </w:tcPr>
          <w:p>
            <w:pPr>
              <w:spacing w:after="40"/>
            </w:pPr>
            <w:r>
              <w:rPr>
                <w:sz w:val="20"/>
              </w:rPr>
              <w:t>0.80</w:t>
            </w:r>
          </w:p>
        </w:tc>
      </w:tr>
      <w:tr>
        <w:tc>
          <w:tcPr>
            <w:tcW w:type="dxa" w:w="2160"/>
          </w:tcPr>
          <w:p>
            <w:pPr>
              <w:spacing w:after="40"/>
            </w:pPr>
            <w:r>
              <w:rPr>
                <w:sz w:val="20"/>
              </w:rPr>
              <w:t>k-NN</w:t>
            </w:r>
          </w:p>
        </w:tc>
        <w:tc>
          <w:tcPr>
            <w:tcW w:type="dxa" w:w="2160"/>
          </w:tcPr>
          <w:p>
            <w:pPr>
              <w:spacing w:after="40"/>
            </w:pPr>
            <w:r>
              <w:rPr>
                <w:sz w:val="20"/>
              </w:rPr>
              <w:t>20</w:t>
            </w:r>
          </w:p>
        </w:tc>
        <w:tc>
          <w:tcPr>
            <w:tcW w:type="dxa" w:w="2160"/>
          </w:tcPr>
          <w:p>
            <w:pPr>
              <w:spacing w:after="40"/>
            </w:pPr>
            <w:r>
              <w:rPr>
                <w:sz w:val="20"/>
              </w:rPr>
              <w:t>20</w:t>
            </w:r>
          </w:p>
        </w:tc>
        <w:tc>
          <w:tcPr>
            <w:tcW w:type="dxa" w:w="2160"/>
          </w:tcPr>
          <w:p>
            <w:pPr>
              <w:spacing w:after="40"/>
            </w:pPr>
            <w:r>
              <w:rPr>
                <w:sz w:val="20"/>
              </w:rPr>
              <w:t>20</w:t>
            </w:r>
          </w:p>
        </w:tc>
      </w:tr>
      <w:tr>
        <w:tc>
          <w:tcPr>
            <w:tcW w:type="dxa" w:w="2160"/>
          </w:tcPr>
          <w:p>
            <w:pPr>
              <w:spacing w:after="40"/>
            </w:pPr>
            <w:r>
              <w:rPr>
                <w:sz w:val="20"/>
              </w:rPr>
              <w:t>bitmap_epsilon</w:t>
            </w:r>
          </w:p>
        </w:tc>
        <w:tc>
          <w:tcPr>
            <w:tcW w:type="dxa" w:w="2160"/>
          </w:tcPr>
          <w:p>
            <w:pPr>
              <w:spacing w:after="40"/>
            </w:pPr>
            <w:r>
              <w:rPr>
                <w:sz w:val="20"/>
              </w:rPr>
              <w:t>auto (2×ε)</w:t>
            </w:r>
          </w:p>
        </w:tc>
        <w:tc>
          <w:tcPr>
            <w:tcW w:type="dxa" w:w="2160"/>
          </w:tcPr>
          <w:p>
            <w:pPr>
              <w:spacing w:after="40"/>
            </w:pPr>
            <w:r>
              <w:rPr>
                <w:sz w:val="20"/>
              </w:rPr>
              <w:t>auto (2×ε)</w:t>
            </w:r>
          </w:p>
        </w:tc>
        <w:tc>
          <w:tcPr>
            <w:tcW w:type="dxa" w:w="2160"/>
          </w:tcPr>
          <w:p>
            <w:pPr>
              <w:spacing w:after="40"/>
            </w:pPr>
            <w:r>
              <w:rPr>
                <w:sz w:val="20"/>
              </w:rPr>
              <w:t>auto (2×ε)</w:t>
            </w:r>
          </w:p>
        </w:tc>
      </w:tr>
      <w:tr>
        <w:tc>
          <w:tcPr>
            <w:tcW w:type="dxa" w:w="2160"/>
          </w:tcPr>
          <w:p>
            <w:pPr>
              <w:spacing w:after="40"/>
            </w:pPr>
            <w:r>
              <w:rPr>
                <w:sz w:val="20"/>
              </w:rPr>
              <w:t>probability</w:t>
            </w:r>
          </w:p>
        </w:tc>
        <w:tc>
          <w:tcPr>
            <w:tcW w:type="dxa" w:w="2160"/>
          </w:tcPr>
          <w:p>
            <w:pPr>
              <w:spacing w:after="40"/>
            </w:pPr>
            <w:r>
              <w:rPr>
                <w:sz w:val="20"/>
              </w:rPr>
              <w:t>0.001</w:t>
            </w:r>
          </w:p>
        </w:tc>
        <w:tc>
          <w:tcPr>
            <w:tcW w:type="dxa" w:w="2160"/>
          </w:tcPr>
          <w:p>
            <w:pPr>
              <w:spacing w:after="40"/>
            </w:pPr>
            <w:r>
              <w:rPr>
                <w:sz w:val="20"/>
              </w:rPr>
              <w:t>0.001</w:t>
            </w:r>
          </w:p>
        </w:tc>
        <w:tc>
          <w:tcPr>
            <w:tcW w:type="dxa" w:w="2160"/>
          </w:tcPr>
          <w:p>
            <w:pPr>
              <w:spacing w:after="40"/>
            </w:pPr>
            <w:r>
              <w:rPr>
                <w:sz w:val="20"/>
              </w:rPr>
              <w:t>0.001</w:t>
            </w:r>
          </w:p>
        </w:tc>
      </w:tr>
      <w:tr>
        <w:tc>
          <w:tcPr>
            <w:tcW w:type="dxa" w:w="2160"/>
          </w:tcPr>
          <w:p>
            <w:pPr>
              <w:spacing w:after="40"/>
            </w:pPr>
            <w:r>
              <w:rPr>
                <w:sz w:val="20"/>
              </w:rPr>
              <w:t>Point cloud input</w:t>
            </w:r>
          </w:p>
        </w:tc>
        <w:tc>
          <w:tcPr>
            <w:tcW w:type="dxa" w:w="2160"/>
          </w:tcPr>
          <w:p>
            <w:pPr>
              <w:spacing w:after="40"/>
            </w:pPr>
            <w:r>
              <w:rPr>
                <w:sz w:val="20"/>
              </w:rPr>
              <w:t>Raw</w:t>
            </w:r>
          </w:p>
        </w:tc>
        <w:tc>
          <w:tcPr>
            <w:tcW w:type="dxa" w:w="2160"/>
          </w:tcPr>
          <w:p>
            <w:pPr>
              <w:spacing w:after="40"/>
            </w:pPr>
            <w:r>
              <w:rPr>
                <w:sz w:val="20"/>
              </w:rPr>
              <w:t>Raw</w:t>
            </w:r>
          </w:p>
        </w:tc>
        <w:tc>
          <w:tcPr>
            <w:tcW w:type="dxa" w:w="2160"/>
          </w:tcPr>
          <w:p>
            <w:pPr>
              <w:spacing w:after="40"/>
            </w:pPr>
            <w:r>
              <w:rPr>
                <w:sz w:val="20"/>
              </w:rPr>
              <w:t>Raw</w:t>
            </w:r>
          </w:p>
        </w:tc>
      </w:tr>
    </w:tbl>
    <w:p/>
    <w:p>
      <w:pPr>
        <w:spacing w:before="40" w:after="240"/>
      </w:pPr>
      <w:r>
        <w:rPr>
          <w:i/>
          <w:color w:val="595959"/>
          <w:sz w:val="19"/>
        </w:rPr>
        <w:t>Table 6.1 — Fixed baseline parameter sets (BASELINE_CONFIG.md).</w:t>
      </w:r>
    </w:p>
    <w:p>
      <w:pPr>
        <w:pStyle w:val="Heading2"/>
      </w:pPr>
      <w:r>
        <w:t>6.2 Evaluation Metrics</w:t>
      </w:r>
    </w:p>
    <w:p>
      <w:pPr>
        <w:pStyle w:val="ListBullet"/>
      </w:pPr>
      <w:r>
        <w:t>Inlier ratio: fraction of points in the frame classified as ground by the detected plane (self-supervised proxy metric used throughout the TartanAir comparisons).</w:t>
      </w:r>
    </w:p>
    <w:p>
      <w:pPr>
        <w:pStyle w:val="ListBullet"/>
      </w:pPr>
      <w:r>
        <w:t>Mean residual: mean absolute point-to-plane distance of inlier points.</w:t>
      </w:r>
    </w:p>
    <w:p>
      <w:pPr>
        <w:pStyle w:val="ListBullet"/>
      </w:pPr>
      <w:r>
        <w:t>Plane verticality (z_align): |normal_z| of the detected ground plane.</w:t>
      </w:r>
    </w:p>
    <w:p>
      <w:pPr>
        <w:pStyle w:val="ListBullet"/>
      </w:pPr>
      <w:r>
        <w:t>Runtime: per-frame and per-dataset wall-clock time.</w:t>
      </w:r>
    </w:p>
    <w:p>
      <w:pPr>
        <w:pStyle w:val="ListBullet"/>
      </w:pPr>
      <w:r>
        <w:t>steps_used: number of RANSAC attempts consumed within an episode (1–5), used to monitor whether the agent is exercising the multi-step refinement capability the method is designed around.</w:t>
      </w:r>
    </w:p>
    <w:p>
      <w:pPr>
        <w:pStyle w:val="ListBullet"/>
      </w:pPr>
      <w:r>
        <w:t>Per-frame win rate: which method (RL or a given fixed baseline) achieved the higher inlier ratio on each individual frame, aggregated as a win percentage.</w:t>
      </w:r>
    </w:p>
    <w:p>
      <w:pPr>
        <w:pStyle w:val="ListBullet"/>
      </w:pPr>
      <w:r>
        <w:t>(Planned, not yet executed on RELLIS-3D) IoU, precision, recall and F1 against real human-annotated ground-truth masks.</w:t>
      </w:r>
    </w:p>
    <w:p>
      <w:r>
        <w:br w:type="page"/>
      </w:r>
    </w:p>
    <w:p>
      <w:pPr>
        <w:pStyle w:val="Heading1"/>
      </w:pPr>
      <w:r>
        <w:t>7. Results</w:t>
      </w:r>
    </w:p>
    <w:p>
      <w:pPr>
        <w:pStyle w:val="Heading2"/>
      </w:pPr>
      <w:r>
        <w:t>7.1 Aggregate Comparison: RL vs. Fixed Baselines</w:t>
      </w:r>
    </w:p>
    <w:p>
      <w:r>
        <w:t>Results below are computed from a joined per-frame comparison across all evaluated TartanAir environments (15,237 frames, 9 datasets; Office is reported separately in Section 7.3 because only the earlier RL model version was evaluated on it).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5E8C"/>
          </w:tcPr>
          <w:p>
            <w:pPr>
              <w:spacing w:after="40"/>
            </w:pPr>
            <w:r>
              <w:rPr>
                <w:b/>
                <w:color w:val="FFFFFF"/>
              </w:rPr>
              <w:t>Method</w:t>
            </w:r>
          </w:p>
        </w:tc>
        <w:tc>
          <w:tcPr>
            <w:tcW w:type="dxa" w:w="2880"/>
            <w:shd w:fill="2E5E8C"/>
          </w:tcPr>
          <w:p>
            <w:pPr>
              <w:spacing w:after="40"/>
            </w:pPr>
            <w:r>
              <w:rPr>
                <w:b/>
                <w:color w:val="FFFFFF"/>
              </w:rPr>
              <w:t>Mean inlier ratio</w:t>
            </w:r>
          </w:p>
        </w:tc>
        <w:tc>
          <w:tcPr>
            <w:tcW w:type="dxa" w:w="2880"/>
            <w:shd w:fill="2E5E8C"/>
          </w:tcPr>
          <w:p>
            <w:pPr>
              <w:spacing w:after="40"/>
            </w:pPr>
            <w:r>
              <w:rPr>
                <w:b/>
                <w:color w:val="FFFFFF"/>
              </w:rPr>
              <w:t>Per-frame win rate (of 15,237)</w:t>
            </w:r>
          </w:p>
        </w:tc>
      </w:tr>
      <w:tr>
        <w:tc>
          <w:tcPr>
            <w:tcW w:type="dxa" w:w="2880"/>
          </w:tcPr>
          <w:p>
            <w:pPr>
              <w:spacing w:after="40"/>
            </w:pPr>
            <w:r>
              <w:rPr>
                <w:sz w:val="20"/>
              </w:rPr>
              <w:t>Strict (fixed)</w:t>
            </w:r>
          </w:p>
        </w:tc>
        <w:tc>
          <w:tcPr>
            <w:tcW w:type="dxa" w:w="2880"/>
          </w:tcPr>
          <w:p>
            <w:pPr>
              <w:spacing w:after="40"/>
            </w:pPr>
            <w:r>
              <w:rPr>
                <w:sz w:val="20"/>
              </w:rPr>
              <w:t>0.0813</w:t>
            </w:r>
          </w:p>
        </w:tc>
        <w:tc>
          <w:tcPr>
            <w:tcW w:type="dxa" w:w="2880"/>
          </w:tcPr>
          <w:p>
            <w:pPr>
              <w:spacing w:after="40"/>
            </w:pPr>
            <w:r>
              <w:rPr>
                <w:sz w:val="20"/>
              </w:rPr>
              <w:t>13.1% (1,995)</w:t>
            </w:r>
          </w:p>
        </w:tc>
      </w:tr>
      <w:tr>
        <w:tc>
          <w:tcPr>
            <w:tcW w:type="dxa" w:w="2880"/>
          </w:tcPr>
          <w:p>
            <w:pPr>
              <w:spacing w:after="40"/>
            </w:pPr>
            <w:r>
              <w:rPr>
                <w:sz w:val="20"/>
              </w:rPr>
              <w:t>Standard (fixed)</w:t>
            </w:r>
          </w:p>
        </w:tc>
        <w:tc>
          <w:tcPr>
            <w:tcW w:type="dxa" w:w="2880"/>
          </w:tcPr>
          <w:p>
            <w:pPr>
              <w:spacing w:after="40"/>
            </w:pPr>
            <w:r>
              <w:rPr>
                <w:sz w:val="20"/>
              </w:rPr>
              <w:t>0.0662</w:t>
            </w:r>
          </w:p>
        </w:tc>
        <w:tc>
          <w:tcPr>
            <w:tcW w:type="dxa" w:w="2880"/>
          </w:tcPr>
          <w:p>
            <w:pPr>
              <w:spacing w:after="40"/>
            </w:pPr>
            <w:r>
              <w:rPr>
                <w:sz w:val="20"/>
              </w:rPr>
              <w:t>17.9% (2,727)</w:t>
            </w:r>
          </w:p>
        </w:tc>
      </w:tr>
      <w:tr>
        <w:tc>
          <w:tcPr>
            <w:tcW w:type="dxa" w:w="2880"/>
          </w:tcPr>
          <w:p>
            <w:pPr>
              <w:spacing w:after="40"/>
            </w:pPr>
            <w:r>
              <w:rPr>
                <w:sz w:val="20"/>
              </w:rPr>
              <w:t>Loose (fixed)</w:t>
            </w:r>
          </w:p>
        </w:tc>
        <w:tc>
          <w:tcPr>
            <w:tcW w:type="dxa" w:w="2880"/>
          </w:tcPr>
          <w:p>
            <w:pPr>
              <w:spacing w:after="40"/>
            </w:pPr>
            <w:r>
              <w:rPr>
                <w:sz w:val="20"/>
              </w:rPr>
              <w:t>0.0323</w:t>
            </w:r>
          </w:p>
        </w:tc>
        <w:tc>
          <w:tcPr>
            <w:tcW w:type="dxa" w:w="2880"/>
          </w:tcPr>
          <w:p>
            <w:pPr>
              <w:spacing w:after="40"/>
            </w:pPr>
            <w:r>
              <w:rPr>
                <w:sz w:val="20"/>
              </w:rPr>
              <w:t>11.4% (1,734)</w:t>
            </w:r>
          </w:p>
        </w:tc>
      </w:tr>
      <w:tr>
        <w:tc>
          <w:tcPr>
            <w:tcW w:type="dxa" w:w="2880"/>
          </w:tcPr>
          <w:p>
            <w:pPr>
              <w:spacing w:after="40"/>
            </w:pPr>
            <w:r>
              <w:rPr>
                <w:sz w:val="20"/>
              </w:rPr>
              <w:t>RL — v1 (terminal reward, 3-action)</w:t>
            </w:r>
          </w:p>
        </w:tc>
        <w:tc>
          <w:tcPr>
            <w:tcW w:type="dxa" w:w="2880"/>
          </w:tcPr>
          <w:p>
            <w:pPr>
              <w:spacing w:after="40"/>
            </w:pPr>
            <w:r>
              <w:rPr>
                <w:sz w:val="20"/>
              </w:rPr>
              <w:t>0.1293</w:t>
            </w:r>
          </w:p>
        </w:tc>
        <w:tc>
          <w:tcPr>
            <w:tcW w:type="dxa" w:w="2880"/>
          </w:tcPr>
          <w:p>
            <w:pPr>
              <w:spacing w:after="40"/>
            </w:pPr>
            <w:r>
              <w:rPr>
                <w:sz w:val="20"/>
              </w:rPr>
              <w:t>28.4% (4,331)</w:t>
            </w:r>
          </w:p>
        </w:tc>
      </w:tr>
      <w:tr>
        <w:tc>
          <w:tcPr>
            <w:tcW w:type="dxa" w:w="2880"/>
          </w:tcPr>
          <w:p>
            <w:pPr>
              <w:spacing w:after="40"/>
            </w:pPr>
            <w:r>
              <w:rPr>
                <w:sz w:val="20"/>
              </w:rPr>
              <w:t>RL — v2 (potential-shaped reward)</w:t>
            </w:r>
          </w:p>
        </w:tc>
        <w:tc>
          <w:tcPr>
            <w:tcW w:type="dxa" w:w="2880"/>
          </w:tcPr>
          <w:p>
            <w:pPr>
              <w:spacing w:after="40"/>
            </w:pPr>
            <w:r>
              <w:rPr>
                <w:sz w:val="20"/>
              </w:rPr>
              <w:t>0.1355</w:t>
            </w:r>
          </w:p>
        </w:tc>
        <w:tc>
          <w:tcPr>
            <w:tcW w:type="dxa" w:w="2880"/>
          </w:tcPr>
          <w:p>
            <w:pPr>
              <w:spacing w:after="40"/>
            </w:pPr>
            <w:r>
              <w:rPr>
                <w:sz w:val="20"/>
              </w:rPr>
              <w:t>29.2% (4,450)</w:t>
            </w:r>
          </w:p>
        </w:tc>
      </w:tr>
      <w:tr>
        <w:tc>
          <w:tcPr>
            <w:tcW w:type="dxa" w:w="2880"/>
          </w:tcPr>
          <w:p>
            <w:pPr>
              <w:spacing w:after="40"/>
            </w:pPr>
            <w:r>
              <w:rPr>
                <w:sz w:val="20"/>
              </w:rPr>
              <w:t>RL combined (v1 + v2)</w:t>
            </w:r>
          </w:p>
        </w:tc>
        <w:tc>
          <w:tcPr>
            <w:tcW w:type="dxa" w:w="2880"/>
          </w:tcPr>
          <w:p>
            <w:pPr>
              <w:spacing w:after="40"/>
            </w:pPr>
            <w:r>
              <w:rPr>
                <w:sz w:val="20"/>
              </w:rPr>
              <w:t>—</w:t>
            </w:r>
          </w:p>
        </w:tc>
        <w:tc>
          <w:tcPr>
            <w:tcW w:type="dxa" w:w="2880"/>
          </w:tcPr>
          <w:p>
            <w:pPr>
              <w:spacing w:after="40"/>
            </w:pPr>
            <w:r>
              <w:rPr>
                <w:sz w:val="20"/>
              </w:rPr>
              <w:t>57.6% (8,781)</w:t>
            </w:r>
          </w:p>
        </w:tc>
      </w:tr>
    </w:tbl>
    <w:p/>
    <w:p>
      <w:pPr>
        <w:spacing w:before="40" w:after="240"/>
      </w:pPr>
      <w:r>
        <w:rPr>
          <w:i/>
          <w:color w:val="595959"/>
          <w:sz w:val="19"/>
        </w:rPr>
        <w:t>Table 7.1 — Mean inlier ratio and per-frame win rate, RL vs. fixed baselines (logs/ALL_per_frame_comparison.csv).</w:t>
      </w:r>
    </w:p>
    <w:p>
      <w:r>
        <w:t>The best RL variant improves mean inlier ratio by roughly 67% over the strongest fixed baseline (0.135 vs. 0.081) and wins the individual per-frame comparison against all three baselines combined 57.6% of the time.</w:t>
      </w:r>
    </w:p>
    <w:p>
      <w:pPr>
        <w:pStyle w:val="Heading2"/>
      </w:pPr>
      <w:r>
        <w:t>7.2 Per-Dataset Breakdown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5E8C"/>
          </w:tcPr>
          <w:p>
            <w:pPr>
              <w:spacing w:after="40"/>
            </w:pPr>
            <w:r>
              <w:rPr>
                <w:b/>
                <w:color w:val="FFFFFF"/>
              </w:rPr>
              <w:t>Dataset</w:t>
            </w:r>
          </w:p>
        </w:tc>
        <w:tc>
          <w:tcPr>
            <w:tcW w:type="dxa" w:w="1728"/>
            <w:shd w:fill="2E5E8C"/>
          </w:tcPr>
          <w:p>
            <w:pPr>
              <w:spacing w:after="40"/>
            </w:pPr>
            <w:r>
              <w:rPr>
                <w:b/>
                <w:color w:val="FFFFFF"/>
              </w:rPr>
              <w:t>Best fixed baseline (inlier)</w:t>
            </w:r>
          </w:p>
        </w:tc>
        <w:tc>
          <w:tcPr>
            <w:tcW w:type="dxa" w:w="1728"/>
            <w:shd w:fill="2E5E8C"/>
          </w:tcPr>
          <w:p>
            <w:pPr>
              <w:spacing w:after="40"/>
            </w:pPr>
            <w:r>
              <w:rPr>
                <w:b/>
                <w:color w:val="FFFFFF"/>
              </w:rPr>
              <w:t>RL v1</w:t>
            </w:r>
          </w:p>
        </w:tc>
        <w:tc>
          <w:tcPr>
            <w:tcW w:type="dxa" w:w="1728"/>
            <w:shd w:fill="2E5E8C"/>
          </w:tcPr>
          <w:p>
            <w:pPr>
              <w:spacing w:after="40"/>
            </w:pPr>
            <w:r>
              <w:rPr>
                <w:b/>
                <w:color w:val="FFFFFF"/>
              </w:rPr>
              <w:t>RL v2</w:t>
            </w:r>
          </w:p>
        </w:tc>
        <w:tc>
          <w:tcPr>
            <w:tcW w:type="dxa" w:w="1728"/>
            <w:shd w:fill="2E5E8C"/>
          </w:tcPr>
          <w:p>
            <w:pPr>
              <w:spacing w:after="40"/>
            </w:pPr>
            <w:r>
              <w:rPr>
                <w:b/>
                <w:color w:val="FFFFFF"/>
              </w:rPr>
              <w:t>Outcome</w:t>
            </w:r>
          </w:p>
        </w:tc>
      </w:tr>
      <w:tr>
        <w:tc>
          <w:tcPr>
            <w:tcW w:type="dxa" w:w="1728"/>
          </w:tcPr>
          <w:p>
            <w:pPr>
              <w:spacing w:after="40"/>
            </w:pPr>
            <w:r>
              <w:rPr>
                <w:sz w:val="20"/>
              </w:rPr>
              <w:t>Downtown</w:t>
            </w:r>
          </w:p>
        </w:tc>
        <w:tc>
          <w:tcPr>
            <w:tcW w:type="dxa" w:w="1728"/>
          </w:tcPr>
          <w:p>
            <w:pPr>
              <w:spacing w:after="40"/>
            </w:pPr>
            <w:r>
              <w:rPr>
                <w:sz w:val="20"/>
              </w:rPr>
              <w:t>0.1326 (Strict)</w:t>
            </w:r>
          </w:p>
        </w:tc>
        <w:tc>
          <w:tcPr>
            <w:tcW w:type="dxa" w:w="1728"/>
          </w:tcPr>
          <w:p>
            <w:pPr>
              <w:spacing w:after="40"/>
            </w:pPr>
            <w:r>
              <w:rPr>
                <w:sz w:val="20"/>
              </w:rPr>
              <w:t>0.1095</w:t>
            </w:r>
          </w:p>
        </w:tc>
        <w:tc>
          <w:tcPr>
            <w:tcW w:type="dxa" w:w="1728"/>
          </w:tcPr>
          <w:p>
            <w:pPr>
              <w:spacing w:after="40"/>
            </w:pPr>
            <w:r>
              <w:rPr>
                <w:sz w:val="20"/>
              </w:rPr>
              <w:t>0.1308</w:t>
            </w:r>
          </w:p>
        </w:tc>
        <w:tc>
          <w:tcPr>
            <w:tcW w:type="dxa" w:w="1728"/>
          </w:tcPr>
          <w:p>
            <w:pPr>
              <w:spacing w:after="40"/>
            </w:pPr>
            <w:r>
              <w:rPr>
                <w:sz w:val="20"/>
              </w:rPr>
              <w:t>Mixed / marginal</w:t>
            </w:r>
          </w:p>
        </w:tc>
      </w:tr>
      <w:tr>
        <w:tc>
          <w:tcPr>
            <w:tcW w:type="dxa" w:w="1728"/>
          </w:tcPr>
          <w:p>
            <w:pPr>
              <w:spacing w:after="40"/>
            </w:pPr>
            <w:r>
              <w:rPr>
                <w:sz w:val="20"/>
              </w:rPr>
              <w:t>Hospital</w:t>
            </w:r>
          </w:p>
        </w:tc>
        <w:tc>
          <w:tcPr>
            <w:tcW w:type="dxa" w:w="1728"/>
          </w:tcPr>
          <w:p>
            <w:pPr>
              <w:spacing w:after="40"/>
            </w:pPr>
            <w:r>
              <w:rPr>
                <w:sz w:val="20"/>
              </w:rPr>
              <w:t>0.0668 (Strict)</w:t>
            </w:r>
          </w:p>
        </w:tc>
        <w:tc>
          <w:tcPr>
            <w:tcW w:type="dxa" w:w="1728"/>
          </w:tcPr>
          <w:p>
            <w:pPr>
              <w:spacing w:after="40"/>
            </w:pPr>
            <w:r>
              <w:rPr>
                <w:sz w:val="20"/>
              </w:rPr>
              <w:t>0.2125</w:t>
            </w:r>
          </w:p>
        </w:tc>
        <w:tc>
          <w:tcPr>
            <w:tcW w:type="dxa" w:w="1728"/>
          </w:tcPr>
          <w:p>
            <w:pPr>
              <w:spacing w:after="40"/>
            </w:pPr>
            <w:r>
              <w:rPr>
                <w:sz w:val="20"/>
              </w:rPr>
              <w:t>0.2081</w:t>
            </w:r>
          </w:p>
        </w:tc>
        <w:tc>
          <w:tcPr>
            <w:tcW w:type="dxa" w:w="1728"/>
          </w:tcPr>
          <w:p>
            <w:pPr>
              <w:spacing w:after="40"/>
            </w:pPr>
            <w:r>
              <w:rPr>
                <w:sz w:val="20"/>
              </w:rPr>
              <w:t>Large RL win</w:t>
            </w:r>
          </w:p>
        </w:tc>
      </w:tr>
      <w:tr>
        <w:tc>
          <w:tcPr>
            <w:tcW w:type="dxa" w:w="1728"/>
          </w:tcPr>
          <w:p>
            <w:pPr>
              <w:spacing w:after="40"/>
            </w:pPr>
            <w:r>
              <w:rPr>
                <w:sz w:val="20"/>
              </w:rPr>
              <w:t>OldScandinavia</w:t>
            </w:r>
          </w:p>
        </w:tc>
        <w:tc>
          <w:tcPr>
            <w:tcW w:type="dxa" w:w="1728"/>
          </w:tcPr>
          <w:p>
            <w:pPr>
              <w:spacing w:after="40"/>
            </w:pPr>
            <w:r>
              <w:rPr>
                <w:sz w:val="20"/>
              </w:rPr>
              <w:t>0.0467 (Strict)</w:t>
            </w:r>
          </w:p>
        </w:tc>
        <w:tc>
          <w:tcPr>
            <w:tcW w:type="dxa" w:w="1728"/>
          </w:tcPr>
          <w:p>
            <w:pPr>
              <w:spacing w:after="40"/>
            </w:pPr>
            <w:r>
              <w:rPr>
                <w:sz w:val="20"/>
              </w:rPr>
              <w:t>0.0571</w:t>
            </w:r>
          </w:p>
        </w:tc>
        <w:tc>
          <w:tcPr>
            <w:tcW w:type="dxa" w:w="1728"/>
          </w:tcPr>
          <w:p>
            <w:pPr>
              <w:spacing w:after="40"/>
            </w:pPr>
            <w:r>
              <w:rPr>
                <w:sz w:val="20"/>
              </w:rPr>
              <w:t>0.0646</w:t>
            </w:r>
          </w:p>
        </w:tc>
        <w:tc>
          <w:tcPr>
            <w:tcW w:type="dxa" w:w="1728"/>
          </w:tcPr>
          <w:p>
            <w:pPr>
              <w:spacing w:after="40"/>
            </w:pPr>
            <w:r>
              <w:rPr>
                <w:sz w:val="20"/>
              </w:rPr>
              <w:t>Modest RL win</w:t>
            </w:r>
          </w:p>
        </w:tc>
      </w:tr>
      <w:tr>
        <w:tc>
          <w:tcPr>
            <w:tcW w:type="dxa" w:w="1728"/>
          </w:tcPr>
          <w:p>
            <w:pPr>
              <w:spacing w:after="40"/>
            </w:pPr>
            <w:r>
              <w:rPr>
                <w:sz w:val="20"/>
              </w:rPr>
              <w:t>OldTownFall</w:t>
            </w:r>
          </w:p>
        </w:tc>
        <w:tc>
          <w:tcPr>
            <w:tcW w:type="dxa" w:w="1728"/>
          </w:tcPr>
          <w:p>
            <w:pPr>
              <w:spacing w:after="40"/>
            </w:pPr>
            <w:r>
              <w:rPr>
                <w:sz w:val="20"/>
              </w:rPr>
              <w:t>0.0547 (Strict)</w:t>
            </w:r>
          </w:p>
        </w:tc>
        <w:tc>
          <w:tcPr>
            <w:tcW w:type="dxa" w:w="1728"/>
          </w:tcPr>
          <w:p>
            <w:pPr>
              <w:spacing w:after="40"/>
            </w:pPr>
            <w:r>
              <w:rPr>
                <w:sz w:val="20"/>
              </w:rPr>
              <w:t>0.0973</w:t>
            </w:r>
          </w:p>
        </w:tc>
        <w:tc>
          <w:tcPr>
            <w:tcW w:type="dxa" w:w="1728"/>
          </w:tcPr>
          <w:p>
            <w:pPr>
              <w:spacing w:after="40"/>
            </w:pPr>
            <w:r>
              <w:rPr>
                <w:sz w:val="20"/>
              </w:rPr>
              <w:t>0.1027</w:t>
            </w:r>
          </w:p>
        </w:tc>
        <w:tc>
          <w:tcPr>
            <w:tcW w:type="dxa" w:w="1728"/>
          </w:tcPr>
          <w:p>
            <w:pPr>
              <w:spacing w:after="40"/>
            </w:pPr>
            <w:r>
              <w:rPr>
                <w:sz w:val="20"/>
              </w:rPr>
              <w:t>RL win</w:t>
            </w:r>
          </w:p>
        </w:tc>
      </w:tr>
      <w:tr>
        <w:tc>
          <w:tcPr>
            <w:tcW w:type="dxa" w:w="1728"/>
          </w:tcPr>
          <w:p>
            <w:pPr>
              <w:spacing w:after="40"/>
            </w:pPr>
            <w:r>
              <w:rPr>
                <w:sz w:val="20"/>
              </w:rPr>
              <w:t>SeasonalForestAutumn</w:t>
            </w:r>
          </w:p>
        </w:tc>
        <w:tc>
          <w:tcPr>
            <w:tcW w:type="dxa" w:w="1728"/>
          </w:tcPr>
          <w:p>
            <w:pPr>
              <w:spacing w:after="40"/>
            </w:pPr>
            <w:r>
              <w:rPr>
                <w:sz w:val="20"/>
              </w:rPr>
              <w:t>0.1163 (Strict)</w:t>
            </w:r>
          </w:p>
        </w:tc>
        <w:tc>
          <w:tcPr>
            <w:tcW w:type="dxa" w:w="1728"/>
          </w:tcPr>
          <w:p>
            <w:pPr>
              <w:spacing w:after="40"/>
            </w:pPr>
            <w:r>
              <w:rPr>
                <w:sz w:val="20"/>
              </w:rPr>
              <w:t>0.1407</w:t>
            </w:r>
          </w:p>
        </w:tc>
        <w:tc>
          <w:tcPr>
            <w:tcW w:type="dxa" w:w="1728"/>
          </w:tcPr>
          <w:p>
            <w:pPr>
              <w:spacing w:after="40"/>
            </w:pPr>
            <w:r>
              <w:rPr>
                <w:sz w:val="20"/>
              </w:rPr>
              <w:t>0.1472</w:t>
            </w:r>
          </w:p>
        </w:tc>
        <w:tc>
          <w:tcPr>
            <w:tcW w:type="dxa" w:w="1728"/>
          </w:tcPr>
          <w:p>
            <w:pPr>
              <w:spacing w:after="40"/>
            </w:pPr>
            <w:r>
              <w:rPr>
                <w:sz w:val="20"/>
              </w:rPr>
              <w:t>RL win</w:t>
            </w:r>
          </w:p>
        </w:tc>
      </w:tr>
      <w:tr>
        <w:tc>
          <w:tcPr>
            <w:tcW w:type="dxa" w:w="1728"/>
          </w:tcPr>
          <w:p>
            <w:pPr>
              <w:spacing w:after="40"/>
            </w:pPr>
            <w:r>
              <w:rPr>
                <w:sz w:val="20"/>
              </w:rPr>
              <w:t>SeasonalForestSpring</w:t>
            </w:r>
          </w:p>
        </w:tc>
        <w:tc>
          <w:tcPr>
            <w:tcW w:type="dxa" w:w="1728"/>
          </w:tcPr>
          <w:p>
            <w:pPr>
              <w:spacing w:after="40"/>
            </w:pPr>
            <w:r>
              <w:rPr>
                <w:sz w:val="20"/>
              </w:rPr>
              <w:t>0.0951 (Strict)</w:t>
            </w:r>
          </w:p>
        </w:tc>
        <w:tc>
          <w:tcPr>
            <w:tcW w:type="dxa" w:w="1728"/>
          </w:tcPr>
          <w:p>
            <w:pPr>
              <w:spacing w:after="40"/>
            </w:pPr>
            <w:r>
              <w:rPr>
                <w:sz w:val="20"/>
              </w:rPr>
              <w:t>0.1184</w:t>
            </w:r>
          </w:p>
        </w:tc>
        <w:tc>
          <w:tcPr>
            <w:tcW w:type="dxa" w:w="1728"/>
          </w:tcPr>
          <w:p>
            <w:pPr>
              <w:spacing w:after="40"/>
            </w:pPr>
            <w:r>
              <w:rPr>
                <w:sz w:val="20"/>
              </w:rPr>
              <w:t>0.1249</w:t>
            </w:r>
          </w:p>
        </w:tc>
        <w:tc>
          <w:tcPr>
            <w:tcW w:type="dxa" w:w="1728"/>
          </w:tcPr>
          <w:p>
            <w:pPr>
              <w:spacing w:after="40"/>
            </w:pPr>
            <w:r>
              <w:rPr>
                <w:sz w:val="20"/>
              </w:rPr>
              <w:t>RL win</w:t>
            </w:r>
          </w:p>
        </w:tc>
      </w:tr>
      <w:tr>
        <w:tc>
          <w:tcPr>
            <w:tcW w:type="dxa" w:w="1728"/>
          </w:tcPr>
          <w:p>
            <w:pPr>
              <w:spacing w:after="40"/>
            </w:pPr>
            <w:r>
              <w:rPr>
                <w:sz w:val="20"/>
              </w:rPr>
              <w:t>SeasonalForestWinterNight</w:t>
            </w:r>
          </w:p>
        </w:tc>
        <w:tc>
          <w:tcPr>
            <w:tcW w:type="dxa" w:w="1728"/>
          </w:tcPr>
          <w:p>
            <w:pPr>
              <w:spacing w:after="40"/>
            </w:pPr>
            <w:r>
              <w:rPr>
                <w:sz w:val="20"/>
              </w:rPr>
              <w:t>0.1031 (Strict)</w:t>
            </w:r>
          </w:p>
        </w:tc>
        <w:tc>
          <w:tcPr>
            <w:tcW w:type="dxa" w:w="1728"/>
          </w:tcPr>
          <w:p>
            <w:pPr>
              <w:spacing w:after="40"/>
            </w:pPr>
            <w:r>
              <w:rPr>
                <w:sz w:val="20"/>
              </w:rPr>
              <w:t>0.1502</w:t>
            </w:r>
          </w:p>
        </w:tc>
        <w:tc>
          <w:tcPr>
            <w:tcW w:type="dxa" w:w="1728"/>
          </w:tcPr>
          <w:p>
            <w:pPr>
              <w:spacing w:after="40"/>
            </w:pPr>
            <w:r>
              <w:rPr>
                <w:sz w:val="20"/>
              </w:rPr>
              <w:t>0.1585</w:t>
            </w:r>
          </w:p>
        </w:tc>
        <w:tc>
          <w:tcPr>
            <w:tcW w:type="dxa" w:w="1728"/>
          </w:tcPr>
          <w:p>
            <w:pPr>
              <w:spacing w:after="40"/>
            </w:pPr>
            <w:r>
              <w:rPr>
                <w:sz w:val="20"/>
              </w:rPr>
              <w:t>RL win</w:t>
            </w:r>
          </w:p>
        </w:tc>
      </w:tr>
      <w:tr>
        <w:tc>
          <w:tcPr>
            <w:tcW w:type="dxa" w:w="1728"/>
          </w:tcPr>
          <w:p>
            <w:pPr>
              <w:spacing w:after="40"/>
            </w:pPr>
            <w:r>
              <w:rPr>
                <w:sz w:val="20"/>
              </w:rPr>
              <w:t>Sewerage</w:t>
            </w:r>
          </w:p>
        </w:tc>
        <w:tc>
          <w:tcPr>
            <w:tcW w:type="dxa" w:w="1728"/>
          </w:tcPr>
          <w:p>
            <w:pPr>
              <w:spacing w:after="40"/>
            </w:pPr>
            <w:r>
              <w:rPr>
                <w:sz w:val="20"/>
              </w:rPr>
              <w:t>0.0549 (Strict)</w:t>
            </w:r>
          </w:p>
        </w:tc>
        <w:tc>
          <w:tcPr>
            <w:tcW w:type="dxa" w:w="1728"/>
          </w:tcPr>
          <w:p>
            <w:pPr>
              <w:spacing w:after="40"/>
            </w:pPr>
            <w:r>
              <w:rPr>
                <w:sz w:val="20"/>
              </w:rPr>
              <w:t>0.2353</w:t>
            </w:r>
          </w:p>
        </w:tc>
        <w:tc>
          <w:tcPr>
            <w:tcW w:type="dxa" w:w="1728"/>
          </w:tcPr>
          <w:p>
            <w:pPr>
              <w:spacing w:after="40"/>
            </w:pPr>
            <w:r>
              <w:rPr>
                <w:sz w:val="20"/>
              </w:rPr>
              <w:t>0.2362</w:t>
            </w:r>
          </w:p>
        </w:tc>
        <w:tc>
          <w:tcPr>
            <w:tcW w:type="dxa" w:w="1728"/>
          </w:tcPr>
          <w:p>
            <w:pPr>
              <w:spacing w:after="40"/>
            </w:pPr>
            <w:r>
              <w:rPr>
                <w:sz w:val="20"/>
              </w:rPr>
              <w:t>Very large RL win</w:t>
            </w:r>
          </w:p>
        </w:tc>
      </w:tr>
      <w:tr>
        <w:tc>
          <w:tcPr>
            <w:tcW w:type="dxa" w:w="1728"/>
          </w:tcPr>
          <w:p>
            <w:pPr>
              <w:spacing w:after="40"/>
            </w:pPr>
            <w:r>
              <w:rPr>
                <w:sz w:val="20"/>
              </w:rPr>
              <w:t>Supermarket</w:t>
            </w:r>
          </w:p>
        </w:tc>
        <w:tc>
          <w:tcPr>
            <w:tcW w:type="dxa" w:w="1728"/>
          </w:tcPr>
          <w:p>
            <w:pPr>
              <w:spacing w:after="40"/>
            </w:pPr>
            <w:r>
              <w:rPr>
                <w:sz w:val="20"/>
              </w:rPr>
              <w:t>0.0455 (Strict)</w:t>
            </w:r>
          </w:p>
        </w:tc>
        <w:tc>
          <w:tcPr>
            <w:tcW w:type="dxa" w:w="1728"/>
          </w:tcPr>
          <w:p>
            <w:pPr>
              <w:spacing w:after="40"/>
            </w:pPr>
            <w:r>
              <w:rPr>
                <w:sz w:val="20"/>
              </w:rPr>
              <w:t>0.0445</w:t>
            </w:r>
          </w:p>
        </w:tc>
        <w:tc>
          <w:tcPr>
            <w:tcW w:type="dxa" w:w="1728"/>
          </w:tcPr>
          <w:p>
            <w:pPr>
              <w:spacing w:after="40"/>
            </w:pPr>
            <w:r>
              <w:rPr>
                <w:sz w:val="20"/>
              </w:rPr>
              <w:t>0.0506</w:t>
            </w:r>
          </w:p>
        </w:tc>
        <w:tc>
          <w:tcPr>
            <w:tcW w:type="dxa" w:w="1728"/>
          </w:tcPr>
          <w:p>
            <w:pPr>
              <w:spacing w:after="40"/>
            </w:pPr>
            <w:r>
              <w:rPr>
                <w:sz w:val="20"/>
              </w:rPr>
              <w:t>RL ≈ baseline (weak point)</w:t>
            </w:r>
          </w:p>
        </w:tc>
      </w:tr>
    </w:tbl>
    <w:p/>
    <w:p>
      <w:pPr>
        <w:spacing w:before="40" w:after="240"/>
      </w:pPr>
      <w:r>
        <w:rPr>
          <w:i/>
          <w:color w:val="595959"/>
          <w:sz w:val="19"/>
        </w:rPr>
        <w:t>Table 7.2 — Mean inlier ratio by dataset (logs/full_comparison_summary.csv).</w:t>
      </w:r>
    </w:p>
    <w:p>
      <w:pPr>
        <w:pStyle w:val="Heading2"/>
      </w:pPr>
      <w:r>
        <w:t>7.3 Office Environment (Separate Run)</w:t>
      </w:r>
    </w:p>
    <w:p>
      <w:r>
        <w:t>Office was evaluated only with the earlier RL model version. Over 678 frames, RL achieved the highest per-frame inlier ratio in 481 frames (70.9%), versus 72 for Strict, 64 for Standard, and 61 for Loose — the strongest single-dataset win rate for RL of any environment evaluated.</w:t>
      </w:r>
    </w:p>
    <w:p>
      <w:pPr>
        <w:pStyle w:val="Heading2"/>
      </w:pPr>
      <w:r>
        <w:t>7.4 Runtime</w:t>
      </w:r>
    </w:p>
    <w:p>
      <w:r>
        <w:t>RL evaluation is consistently faster in total wall-clock time than the fixed baselines despite the possibility of up to five RANSAC calls per frame, because most episodes terminate after a single, well-chosen attempt (see Section 7.5). Representative examples: on Downtown, Strict took 337 s versus 199 s (RL v1) and 138 s (RL v2); on Sewerage, Strict took 326 s versus 89 s (RL v1) and 80 s (RL v2).</w:t>
      </w:r>
    </w:p>
    <w:p>
      <w:pPr>
        <w:pStyle w:val="Heading2"/>
      </w:pPr>
      <w:r>
        <w:t>7.5 Multi-Step Refinement Usage</w:t>
      </w:r>
    </w:p>
    <w:p>
      <w:r>
        <w:t>A central design goal of the method is that the agent should use multiple refinement attempts when a first attempt is poor. In the most recent completed evaluation run (v3, normal_threshold added to the action space, environment-level holdout active, 33,787 logged steps), the distribution of steps used per episode was: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5E8C"/>
          </w:tcPr>
          <w:p>
            <w:pPr>
              <w:spacing w:after="40"/>
            </w:pPr>
            <w:r>
              <w:rPr>
                <w:b/>
                <w:color w:val="FFFFFF"/>
              </w:rPr>
              <w:t>Steps used</w:t>
            </w:r>
          </w:p>
        </w:tc>
        <w:tc>
          <w:tcPr>
            <w:tcW w:type="dxa" w:w="2880"/>
            <w:shd w:fill="2E5E8C"/>
          </w:tcPr>
          <w:p>
            <w:pPr>
              <w:spacing w:after="40"/>
            </w:pPr>
            <w:r>
              <w:rPr>
                <w:b/>
                <w:color w:val="FFFFFF"/>
              </w:rPr>
              <w:t>Episodes</w:t>
            </w:r>
          </w:p>
        </w:tc>
        <w:tc>
          <w:tcPr>
            <w:tcW w:type="dxa" w:w="2880"/>
            <w:shd w:fill="2E5E8C"/>
          </w:tcPr>
          <w:p>
            <w:pPr>
              <w:spacing w:after="40"/>
            </w:pPr>
            <w:r>
              <w:rPr>
                <w:b/>
                <w:color w:val="FFFFFF"/>
              </w:rPr>
              <w:t>% of total</w:t>
            </w:r>
          </w:p>
        </w:tc>
      </w:tr>
      <w:tr>
        <w:tc>
          <w:tcPr>
            <w:tcW w:type="dxa" w:w="2880"/>
          </w:tcPr>
          <w:p>
            <w:pPr>
              <w:spacing w:after="40"/>
            </w:pPr>
            <w:r>
              <w:rPr>
                <w:sz w:val="20"/>
              </w:rPr>
              <w:t>1</w:t>
            </w:r>
          </w:p>
        </w:tc>
        <w:tc>
          <w:tcPr>
            <w:tcW w:type="dxa" w:w="2880"/>
          </w:tcPr>
          <w:p>
            <w:pPr>
              <w:spacing w:after="40"/>
            </w:pPr>
            <w:r>
              <w:rPr>
                <w:sz w:val="20"/>
              </w:rPr>
              <w:t>26,874</w:t>
            </w:r>
          </w:p>
        </w:tc>
        <w:tc>
          <w:tcPr>
            <w:tcW w:type="dxa" w:w="2880"/>
          </w:tcPr>
          <w:p>
            <w:pPr>
              <w:spacing w:after="40"/>
            </w:pPr>
            <w:r>
              <w:rPr>
                <w:sz w:val="20"/>
              </w:rPr>
              <w:t>79.6%</w:t>
            </w:r>
          </w:p>
        </w:tc>
      </w:tr>
      <w:tr>
        <w:tc>
          <w:tcPr>
            <w:tcW w:type="dxa" w:w="2880"/>
          </w:tcPr>
          <w:p>
            <w:pPr>
              <w:spacing w:after="40"/>
            </w:pPr>
            <w:r>
              <w:rPr>
                <w:sz w:val="20"/>
              </w:rPr>
              <w:t>2</w:t>
            </w:r>
          </w:p>
        </w:tc>
        <w:tc>
          <w:tcPr>
            <w:tcW w:type="dxa" w:w="2880"/>
          </w:tcPr>
          <w:p>
            <w:pPr>
              <w:spacing w:after="40"/>
            </w:pPr>
            <w:r>
              <w:rPr>
                <w:sz w:val="20"/>
              </w:rPr>
              <w:t>4,343</w:t>
            </w:r>
          </w:p>
        </w:tc>
        <w:tc>
          <w:tcPr>
            <w:tcW w:type="dxa" w:w="2880"/>
          </w:tcPr>
          <w:p>
            <w:pPr>
              <w:spacing w:after="40"/>
            </w:pPr>
            <w:r>
              <w:rPr>
                <w:sz w:val="20"/>
              </w:rPr>
              <w:t>12.9%</w:t>
            </w:r>
          </w:p>
        </w:tc>
      </w:tr>
      <w:tr>
        <w:tc>
          <w:tcPr>
            <w:tcW w:type="dxa" w:w="2880"/>
          </w:tcPr>
          <w:p>
            <w:pPr>
              <w:spacing w:after="40"/>
            </w:pPr>
            <w:r>
              <w:rPr>
                <w:sz w:val="20"/>
              </w:rPr>
              <w:t>3</w:t>
            </w:r>
          </w:p>
        </w:tc>
        <w:tc>
          <w:tcPr>
            <w:tcW w:type="dxa" w:w="2880"/>
          </w:tcPr>
          <w:p>
            <w:pPr>
              <w:spacing w:after="40"/>
            </w:pPr>
            <w:r>
              <w:rPr>
                <w:sz w:val="20"/>
              </w:rPr>
              <w:t>1,521</w:t>
            </w:r>
          </w:p>
        </w:tc>
        <w:tc>
          <w:tcPr>
            <w:tcW w:type="dxa" w:w="2880"/>
          </w:tcPr>
          <w:p>
            <w:pPr>
              <w:spacing w:after="40"/>
            </w:pPr>
            <w:r>
              <w:rPr>
                <w:sz w:val="20"/>
              </w:rPr>
              <w:t>4.5%</w:t>
            </w:r>
          </w:p>
        </w:tc>
      </w:tr>
      <w:tr>
        <w:tc>
          <w:tcPr>
            <w:tcW w:type="dxa" w:w="2880"/>
          </w:tcPr>
          <w:p>
            <w:pPr>
              <w:spacing w:after="40"/>
            </w:pPr>
            <w:r>
              <w:rPr>
                <w:sz w:val="20"/>
              </w:rPr>
              <w:t>4</w:t>
            </w:r>
          </w:p>
        </w:tc>
        <w:tc>
          <w:tcPr>
            <w:tcW w:type="dxa" w:w="2880"/>
          </w:tcPr>
          <w:p>
            <w:pPr>
              <w:spacing w:after="40"/>
            </w:pPr>
            <w:r>
              <w:rPr>
                <w:sz w:val="20"/>
              </w:rPr>
              <w:t>691</w:t>
            </w:r>
          </w:p>
        </w:tc>
        <w:tc>
          <w:tcPr>
            <w:tcW w:type="dxa" w:w="2880"/>
          </w:tcPr>
          <w:p>
            <w:pPr>
              <w:spacing w:after="40"/>
            </w:pPr>
            <w:r>
              <w:rPr>
                <w:sz w:val="20"/>
              </w:rPr>
              <w:t>2.0%</w:t>
            </w:r>
          </w:p>
        </w:tc>
      </w:tr>
      <w:tr>
        <w:tc>
          <w:tcPr>
            <w:tcW w:type="dxa" w:w="2880"/>
          </w:tcPr>
          <w:p>
            <w:pPr>
              <w:spacing w:after="40"/>
            </w:pPr>
            <w:r>
              <w:rPr>
                <w:sz w:val="20"/>
              </w:rPr>
              <w:t>5</w:t>
            </w:r>
          </w:p>
        </w:tc>
        <w:tc>
          <w:tcPr>
            <w:tcW w:type="dxa" w:w="2880"/>
          </w:tcPr>
          <w:p>
            <w:pPr>
              <w:spacing w:after="40"/>
            </w:pPr>
            <w:r>
              <w:rPr>
                <w:sz w:val="20"/>
              </w:rPr>
              <w:t>358</w:t>
            </w:r>
          </w:p>
        </w:tc>
        <w:tc>
          <w:tcPr>
            <w:tcW w:type="dxa" w:w="2880"/>
          </w:tcPr>
          <w:p>
            <w:pPr>
              <w:spacing w:after="40"/>
            </w:pPr>
            <w:r>
              <w:rPr>
                <w:sz w:val="20"/>
              </w:rPr>
              <w:t>1.1%</w:t>
            </w:r>
          </w:p>
        </w:tc>
      </w:tr>
    </w:tbl>
    <w:p/>
    <w:p>
      <w:pPr>
        <w:spacing w:before="40" w:after="240"/>
      </w:pPr>
      <w:r>
        <w:rPr>
          <w:i/>
          <w:color w:val="595959"/>
          <w:sz w:val="19"/>
        </w:rPr>
        <w:t>Table 7.3 — steps_used distribution, logs/evaluation_metrics_v3_normthresh_heldout.csv (mean inlier ratio 0.0947, mean reward 0.2657, mean residual 0.0863, mean runtime 0.241 s/step).</w:t>
      </w:r>
    </w:p>
    <w:p>
      <w:pPr>
        <w:spacing w:before="80" w:after="200"/>
        <w:ind w:left="283"/>
      </w:pPr>
      <w:r>
        <w:rPr>
          <w:b/>
          <w:i/>
          <w:color w:val="B05A00"/>
          <w:sz w:val="20"/>
        </w:rPr>
        <w:t xml:space="preserve">Note: </w:t>
      </w:r>
      <w:r>
        <w:rPr>
          <w:i/>
          <w:color w:val="B05A00"/>
          <w:sz w:val="20"/>
        </w:rPr>
        <w:t>Only about 20% of episodes in this run actually exercised more than one refinement step, which is a known, diagnosed regression relative to an intermediate experiment (v2_reward_heldout) that reached 61% multi-step usage. A reward-formula fix addressing this (folding plane verticality into the per-step potential instead of a terminal-only bonus) has been implemented in the current code but had not yet been evaluated in a completed training run at the time of writing — see Appendix A and Section 9.</w:t>
      </w:r>
    </w:p>
    <w:p>
      <w:r>
        <w:br w:type="page"/>
      </w:r>
    </w:p>
    <w:p>
      <w:pPr>
        <w:pStyle w:val="Heading1"/>
      </w:pPr>
      <w:r>
        <w:t>8. Discussion and Key Findings</w:t>
      </w:r>
    </w:p>
    <w:p>
      <w:pPr>
        <w:pStyle w:val="Heading2"/>
      </w:pPr>
      <w:r>
        <w:t>8.1 RL Outperforms Fixed Parameters on Average and Per-Frame</w:t>
      </w:r>
    </w:p>
    <w:p>
      <w:r>
        <w:t>Across all evaluated TartanAir environments, the RL agent achieves a higher mean inlier ratio than every fixed baseline and wins the direct per-frame comparison against all three baselines combined more often than any single baseline does, while also being faster in aggregate wall-clock time. This supports the core hypothesis that per-frame, scene-adaptive parameter selection outperforms any single fixed configuration.</w:t>
      </w:r>
    </w:p>
    <w:p>
      <w:pPr>
        <w:pStyle w:val="Heading2"/>
      </w:pPr>
      <w:r>
        <w:t>8.2 Aggregate Averages Can Mask Per-Frame Behaviour</w:t>
      </w:r>
    </w:p>
    <w:p>
      <w:r>
        <w:t>Reporting only mean inlier ratio would understate how often RL is actually the best choice on any given frame; the per-frame win-rate metric (Section 7.1) was introduced specifically to capture this, and shows RL winning the individual comparison a majority of the time (57.6%) even though its aggregate improvement over Strict looks numerically modest in isolation.</w:t>
      </w:r>
    </w:p>
    <w:p>
      <w:pPr>
        <w:pStyle w:val="Heading2"/>
      </w:pPr>
      <w:r>
        <w:t>8.3 A Real, Previously-Encountered Policy-Collapse Failure Mode</w:t>
      </w:r>
    </w:p>
    <w:p>
      <w:r>
        <w:t>An earlier model trained without an entropy bonus (ent_coef=0.0) and without observation normalisation converged to selecting the identical action (epsilon=0.2, min_support=800) for effectively 100% of roughly 16,000 evaluated frames, yet still outperformed the fixed baselines in aggregate purely because that one static combination happened to be a decent compromise — not because the policy was actually reading the scene. This is an important caution when interpreting “RL beats baseline” results in isolation: aggregate outperformance alone does not prove adaptive behaviour. The fix (ent_coef=0.01 plus VecNormalize observation/reward normalisation) is now the standard training configuration, and any future retrain should explicitly check the action-diversity of the resulting policy as a sanity check, not just its aggregate score.</w:t>
      </w:r>
    </w:p>
    <w:p>
      <w:pPr>
        <w:pStyle w:val="Heading2"/>
      </w:pPr>
      <w:r>
        <w:t>8.4 The Multi-Step Refinement Goal Has Been Difficult to Realise</w:t>
      </w:r>
    </w:p>
    <w:p>
      <w:r>
        <w:t>The project's central novelty claim — that adaptive, multi-attempt refinement outperforms single-shot prediction — has repeatedly proven hard to actually exercise in practice. The fraction of single-step episodes has oscillated between roughly 61% and over 90% across different reward formulations, generally correlating with how much the reward function rewarded stopping early versus continuing to refine. This is documented in detail in Appendix A and should be treated as an open, actively-being-addressed issue rather than a settled result.</w:t>
      </w:r>
    </w:p>
    <w:p>
      <w:pPr>
        <w:pStyle w:val="Heading2"/>
      </w:pPr>
      <w:r>
        <w:t>8.5 A Persistent, Understood Weak Point: Supermarket</w:t>
      </w:r>
    </w:p>
    <w:p>
      <w:r>
        <w:t>The Supermarket environment is the one dataset where RL does not clearly outperform the Strict baseline (0.0445–0.0506 vs. 0.0455). Diagnosis in the project logs attributes this to the agent's tendency to fall back on a high min_support value (800) that does not suit Supermarket's point-density distribution, rather than exploring lower min_support values as it does successfully in other environments. This is treated as a genuine, environment-specific limitation of the current policy rather than an evaluation artefact.</w:t>
      </w:r>
    </w:p>
    <w:p>
      <w:pPr>
        <w:pStyle w:val="Heading2"/>
      </w:pPr>
      <w:r>
        <w:t>8.6 Independent Cross-Validation via Traversability Comparison</w:t>
      </w:r>
    </w:p>
    <w:p>
      <w:r>
        <w:t>A separate, independently implemented traversability classifier (grid-based, unrelated to the Schnabel RANSAC pipeline) was used as a cross-check. On pre-built, complete-scene point clouds, agreement between the two methods was moderate on Downtown (IoU 0.373) but near-zero on OldScandinavia (IoU 0.010), suggesting that rough, sloped outdoor terrain is a genuinely hard case for plane-based ground detection in general, not a weakness specific to the Schnabel implementation. On accumulated multi-frame trajectory maps built without ICP registration, the grid classifier's agreement collapsed entirely (IoU 0.000 on both datasets); this was diagnosed as a registration-noise artefact of the naive multi-frame merge rather than a terrain-difficulty finding, since the Schnabel plane detector's own ground-fraction estimates remained consistent between the two independent data sources (10.0% vs. 11.6% ground on Downtown), supporting the soundness of the underlying accumulation pipeline.</w:t>
      </w:r>
    </w:p>
    <w:p>
      <w:r>
        <w:br w:type="page"/>
      </w:r>
    </w:p>
    <w:p>
      <w:pPr>
        <w:pStyle w:val="Heading1"/>
      </w:pPr>
      <w:r>
        <w:t>9. Limitations</w:t>
      </w:r>
    </w:p>
    <w:p>
      <w:pPr>
        <w:pStyle w:val="ListBullet"/>
      </w:pPr>
      <w:r>
        <w:t>No “keep the best attempt” fallback: the environment overwrites its inlier-ratio and residual state with the most recent attempt only. If the agent chooses to continue refining and the new attempt is worse than a previous one, nothing recovers the earlier, better result — “continue” is a pure bet, not a safe exploration step.</w:t>
      </w:r>
    </w:p>
    <w:p>
      <w:pPr>
        <w:pStyle w:val="ListBullet"/>
      </w:pPr>
      <w:r>
        <w:t>The logged reward column is not frozen to the objective a given checkpoint was actually trained under: evaluating an older model after a reward-formula change logs reward values computed with the current formula, not the one that model optimised. Inlier ratio, residual and plane verticality remain valid to compare across model versions; the raw reward column does not.</w:t>
      </w:r>
    </w:p>
    <w:p>
      <w:pPr>
        <w:pStyle w:val="ListBullet"/>
      </w:pPr>
      <w:r>
        <w:t>Point normals are recomputed from scratch on every single detection call with no caching across attempts within an episode, a known inefficiency relevant to any future “retry with a different epsilon only” optimisation.</w:t>
      </w:r>
    </w:p>
    <w:p>
      <w:pPr>
        <w:pStyle w:val="ListBullet"/>
      </w:pPr>
      <w:r>
        <w:t>RELLIS-3D evaluation infrastructure is complete and the dataset is downloaded and converted, but the evaluation script has not yet been run to completion — there are currently no real-world ground-truth accuracy numbers (IoU/precision/recall/F1) to report.</w:t>
      </w:r>
    </w:p>
    <w:p>
      <w:pPr>
        <w:pStyle w:val="ListBullet"/>
      </w:pPr>
      <w:r>
        <w:t>The most recent reward-shaping fix (Section 7.5 / Appendix A) has not yet been validated by a full retrain and evaluation; all quantitative results in this report reflect the pre-fix reward formulation.</w:t>
      </w:r>
    </w:p>
    <w:p>
      <w:pPr>
        <w:pStyle w:val="ListBullet"/>
      </w:pPr>
      <w:r>
        <w:t>Planned Phase 2/3 extensions — agent-controlled voxel size, temporal (cross-frame) features, RANSAC success-probability as an action, a PointNet++-based scene encoder, a hierarchical terrain-classifier policy with sub-policies, and learned point-importance sampling weights — have not been implemented. Where planning documents present projected runtime/accuracy figures for a PointNet++-based approach (e.g. estimated inference latency), these are protocol/design estimates only and are not measured results; they must not be quoted as empirical findings.</w:t>
      </w:r>
    </w:p>
    <w:p>
      <w:pPr>
        <w:pStyle w:val="ListBullet"/>
      </w:pPr>
      <w:r>
        <w:t>Statistical significance testing (e.g. paired t-test or Wilcoxon signed-rank across multiple training seeds) has been planned but not yet executed; all comparisons in this report are single-run point estimates.</w:t>
      </w:r>
    </w:p>
    <w:p>
      <w:r>
        <w:br w:type="page"/>
      </w:r>
    </w:p>
    <w:p>
      <w:pPr>
        <w:pStyle w:val="Heading1"/>
      </w:pPr>
      <w:r>
        <w:t>10. Future Work</w:t>
      </w:r>
    </w:p>
    <w:p>
      <w:pPr>
        <w:pStyle w:val="ListBullet"/>
      </w:pPr>
      <w:r>
        <w:t>Run the existing RELLIS-3D evaluation pipeline to completion to obtain real, ground-truth IoU/precision/recall/F1 metrics, and use them to validate whether the self-supervised inlier-ratio proxy metric used throughout TartanAir evaluation actually tracks real segmentation accuracy.</w:t>
      </w:r>
    </w:p>
    <w:p>
      <w:pPr>
        <w:pStyle w:val="ListBullet"/>
      </w:pPr>
      <w:r>
        <w:t>Retrain and re-evaluate under the latest reward formulation (verticality folded into the per-step potential rather than a terminal-only bonus) to measure its effect on multi-step refinement usage and overall inlier ratio.</w:t>
      </w:r>
    </w:p>
    <w:p>
      <w:pPr>
        <w:pStyle w:val="ListBullet"/>
      </w:pPr>
      <w:r>
        <w:t>Investigate and address the Supermarket weak point specifically, e.g. by examining whether additional point-density-related scene features would help the agent avoid over-committing to a high min_support value in that environment.</w:t>
      </w:r>
    </w:p>
    <w:p>
      <w:pPr>
        <w:pStyle w:val="ListBullet"/>
      </w:pPr>
      <w:r>
        <w:t>Introduce a “keep best attempt” mechanism so that a refinement step which regresses the fit does not discard a previously better result.</w:t>
      </w:r>
    </w:p>
    <w:p>
      <w:pPr>
        <w:pStyle w:val="ListBullet"/>
      </w:pPr>
      <w:r>
        <w:t>Treat k-NN and RANSAC success probability as slower, outer-loop adaptive parameters (updated every N frames rather than every step) given the cost of recomputing normals.</w:t>
      </w:r>
    </w:p>
    <w:p>
      <w:pPr>
        <w:pStyle w:val="ListBullet"/>
      </w:pPr>
      <w:r>
        <w:t>Extend the action space to agent-controlled voxel downsampling size, as originally planned.</w:t>
      </w:r>
    </w:p>
    <w:p>
      <w:pPr>
        <w:pStyle w:val="ListBullet"/>
      </w:pPr>
      <w:r>
        <w:t>Add temporal (cross-frame) features to the observation space to exploit continuity between consecutive LiDAR frames.</w:t>
      </w:r>
    </w:p>
    <w:p>
      <w:pPr>
        <w:pStyle w:val="ListBullet"/>
      </w:pPr>
      <w:r>
        <w:t>Pursue the originally planned hierarchical policy design (a terrain-type classifier routing to specialised sub-policies) and a PointNet++-based scene encoder, gated on whether the current MLP-based approach plateaus below its target inlier-ratio threshold.</w:t>
      </w:r>
    </w:p>
    <w:p>
      <w:pPr>
        <w:pStyle w:val="ListBullet"/>
      </w:pPr>
      <w:r>
        <w:t>Run statistically rigorous comparisons (multiple seeds, paired significance testing) before drawing final conclusions about RL vs. fixed-baseline performance.</w:t>
      </w:r>
    </w:p>
    <w:p>
      <w:r>
        <w:br w:type="page"/>
      </w:r>
    </w:p>
    <w:p>
      <w:pPr>
        <w:pStyle w:val="Heading1"/>
      </w:pPr>
      <w:r>
        <w:t>11. Conclusion</w:t>
      </w:r>
    </w:p>
    <w:p>
      <w:r>
        <w:t>This project demonstrates that framing per-frame RANSAC parameter selection for ground-plane segmentation as a reinforcement learning problem, using a self-supervised, potential-shaped reward and a PPO agent over a small mixed-discrete action space, outperforms fixed-parameter Efficient RANSAC baselines on the TartanAir benchmark suite: a 67% higher mean inlier ratio than the strongest fixed baseline, a 57.6% per-frame win rate against all three baselines combined, and roughly 2–3× faster wall-clock evaluation time. At the same time, the project's own logs candidly document real open problems: a previously encountered policy-collapse failure mode, an ongoing struggle to reliably exercise the intended multi-step refinement behaviour, and one environment (Supermarket) where the learned policy has not yet surpassed the fixed baseline. Real-world validation against human-annotated ground truth (RELLIS-3D) is infrastructure-complete but has not yet been executed, and several originally planned extensions — learned sampling weights, a hierarchical terrain-routing policy, and a PointNet++-based scene encoder — remain future work rather than implemented and evaluated components. Overall, the results support adaptive, learned parameter selection as a promising direction for scene-robust ground segmentation, while indicating that the multi-step refinement mechanism and real-world generalisation still require further work before the approach can be considered fully validated.</w:t>
      </w:r>
    </w:p>
    <w:p>
      <w:r>
        <w:br w:type="page"/>
      </w:r>
    </w:p>
    <w:p>
      <w:pPr>
        <w:pStyle w:val="Heading1"/>
      </w:pPr>
      <w:r>
        <w:t>Appendix A: Reward Formula Version History</w:t>
      </w:r>
    </w:p>
    <w:p>
      <w:r>
        <w:t>The reward function underwent three major revisions during development. This appendix traces what changed at each stage and its measured effect on the fraction of episodes using more than one refinement step — the clearest available signal for whether the multi-step design is actually being used.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5E8C"/>
          </w:tcPr>
          <w:p>
            <w:pPr>
              <w:spacing w:after="40"/>
            </w:pPr>
            <w:r>
              <w:rPr>
                <w:b/>
                <w:color w:val="FFFFFF"/>
              </w:rPr>
              <w:t>Version</w:t>
            </w:r>
          </w:p>
        </w:tc>
        <w:tc>
          <w:tcPr>
            <w:tcW w:type="dxa" w:w="1728"/>
            <w:shd w:fill="2E5E8C"/>
          </w:tcPr>
          <w:p>
            <w:pPr>
              <w:spacing w:after="40"/>
            </w:pPr>
            <w:r>
              <w:rPr>
                <w:b/>
                <w:color w:val="FFFFFF"/>
              </w:rPr>
              <w:t>Action space</w:t>
            </w:r>
          </w:p>
        </w:tc>
        <w:tc>
          <w:tcPr>
            <w:tcW w:type="dxa" w:w="1728"/>
            <w:shd w:fill="2E5E8C"/>
          </w:tcPr>
          <w:p>
            <w:pPr>
              <w:spacing w:after="40"/>
            </w:pPr>
            <w:r>
              <w:rPr>
                <w:b/>
                <w:color w:val="FFFFFF"/>
              </w:rPr>
              <w:t>Reward structure</w:t>
            </w:r>
          </w:p>
        </w:tc>
        <w:tc>
          <w:tcPr>
            <w:tcW w:type="dxa" w:w="1728"/>
            <w:shd w:fill="2E5E8C"/>
          </w:tcPr>
          <w:p>
            <w:pPr>
              <w:spacing w:after="40"/>
            </w:pPr>
            <w:r>
              <w:rPr>
                <w:b/>
                <w:color w:val="FFFFFF"/>
              </w:rPr>
              <w:t>Mean inlier ratio</w:t>
            </w:r>
          </w:p>
        </w:tc>
        <w:tc>
          <w:tcPr>
            <w:tcW w:type="dxa" w:w="1728"/>
            <w:shd w:fill="2E5E8C"/>
          </w:tcPr>
          <w:p>
            <w:pPr>
              <w:spacing w:after="40"/>
            </w:pPr>
            <w:r>
              <w:rPr>
                <w:b/>
                <w:color w:val="FFFFFF"/>
              </w:rPr>
              <w:t>% single-step episodes</w:t>
            </w:r>
          </w:p>
        </w:tc>
      </w:tr>
      <w:tr>
        <w:tc>
          <w:tcPr>
            <w:tcW w:type="dxa" w:w="1728"/>
          </w:tcPr>
          <w:p>
            <w:pPr>
              <w:spacing w:after="40"/>
            </w:pPr>
            <w:r>
              <w:rPr>
                <w:sz w:val="20"/>
              </w:rPr>
              <w:t>v1 (terminal reward)</w:t>
            </w:r>
          </w:p>
        </w:tc>
        <w:tc>
          <w:tcPr>
            <w:tcW w:type="dxa" w:w="1728"/>
          </w:tcPr>
          <w:p>
            <w:pPr>
              <w:spacing w:after="40"/>
            </w:pPr>
            <w:r>
              <w:rPr>
                <w:sz w:val="20"/>
              </w:rPr>
              <w:t>3-action (epsilon, min_support, stop); normal_threshold fixed at 0.90</w:t>
            </w:r>
          </w:p>
        </w:tc>
        <w:tc>
          <w:tcPr>
            <w:tcW w:type="dxa" w:w="1728"/>
          </w:tcPr>
          <w:p>
            <w:pPr>
              <w:spacing w:after="40"/>
            </w:pPr>
            <w:r>
              <w:rPr>
                <w:sz w:val="20"/>
              </w:rPr>
              <w:t>Terminal-only: 1.0·inlier − 0.1·runtime − 0.5·residual + 0.3·normal_consistency − 0.05·step_count, paid only at episode end</w:t>
            </w:r>
          </w:p>
        </w:tc>
        <w:tc>
          <w:tcPr>
            <w:tcW w:type="dxa" w:w="1728"/>
          </w:tcPr>
          <w:p>
            <w:pPr>
              <w:spacing w:after="40"/>
            </w:pPr>
            <w:r>
              <w:rPr>
                <w:sz w:val="20"/>
              </w:rPr>
              <w:t>0.1074</w:t>
            </w:r>
          </w:p>
        </w:tc>
        <w:tc>
          <w:tcPr>
            <w:tcW w:type="dxa" w:w="1728"/>
          </w:tcPr>
          <w:p>
            <w:pPr>
              <w:spacing w:after="40"/>
            </w:pPr>
            <w:r>
              <w:rPr>
                <w:sz w:val="20"/>
              </w:rPr>
              <w:t>92.1%</w:t>
            </w:r>
          </w:p>
        </w:tc>
      </w:tr>
      <w:tr>
        <w:tc>
          <w:tcPr>
            <w:tcW w:type="dxa" w:w="1728"/>
          </w:tcPr>
          <w:p>
            <w:pPr>
              <w:spacing w:after="40"/>
            </w:pPr>
            <w:r>
              <w:rPr>
                <w:sz w:val="20"/>
              </w:rPr>
              <w:t>v2_reward (per-step shaping)</w:t>
            </w:r>
          </w:p>
        </w:tc>
        <w:tc>
          <w:tcPr>
            <w:tcW w:type="dxa" w:w="1728"/>
          </w:tcPr>
          <w:p>
            <w:pPr>
              <w:spacing w:after="40"/>
            </w:pPr>
            <w:r>
              <w:rPr>
                <w:sz w:val="20"/>
              </w:rPr>
              <w:t>3-action (same)</w:t>
            </w:r>
          </w:p>
        </w:tc>
        <w:tc>
          <w:tcPr>
            <w:tcW w:type="dxa" w:w="1728"/>
          </w:tcPr>
          <w:p>
            <w:pPr>
              <w:spacing w:after="40"/>
            </w:pPr>
            <w:r>
              <w:rPr>
                <w:sz w:val="20"/>
              </w:rPr>
              <w:t>Potential shaping Φ = inlier − 0.5·residual, paid every step as ΔΦ − 0.1·runtime − 0.01, plus a terminal-only +0.3·normal_consistency bonus</w:t>
            </w:r>
          </w:p>
        </w:tc>
        <w:tc>
          <w:tcPr>
            <w:tcW w:type="dxa" w:w="1728"/>
          </w:tcPr>
          <w:p>
            <w:pPr>
              <w:spacing w:after="40"/>
            </w:pPr>
            <w:r>
              <w:rPr>
                <w:sz w:val="20"/>
              </w:rPr>
              <w:t>0.1064</w:t>
            </w:r>
          </w:p>
        </w:tc>
        <w:tc>
          <w:tcPr>
            <w:tcW w:type="dxa" w:w="1728"/>
          </w:tcPr>
          <w:p>
            <w:pPr>
              <w:spacing w:after="40"/>
            </w:pPr>
            <w:r>
              <w:rPr>
                <w:sz w:val="20"/>
              </w:rPr>
              <w:t>90.4%</w:t>
            </w:r>
          </w:p>
        </w:tc>
      </w:tr>
      <w:tr>
        <w:tc>
          <w:tcPr>
            <w:tcW w:type="dxa" w:w="1728"/>
          </w:tcPr>
          <w:p>
            <w:pPr>
              <w:spacing w:after="40"/>
            </w:pPr>
            <w:r>
              <w:rPr>
                <w:sz w:val="20"/>
              </w:rPr>
              <w:t>v2_reward (runtime term removed)</w:t>
            </w:r>
          </w:p>
        </w:tc>
        <w:tc>
          <w:tcPr>
            <w:tcW w:type="dxa" w:w="1728"/>
          </w:tcPr>
          <w:p>
            <w:pPr>
              <w:spacing w:after="40"/>
            </w:pPr>
            <w:r>
              <w:rPr>
                <w:sz w:val="20"/>
              </w:rPr>
              <w:t>3-action (same)</w:t>
            </w:r>
          </w:p>
        </w:tc>
        <w:tc>
          <w:tcPr>
            <w:tcW w:type="dxa" w:w="1728"/>
          </w:tcPr>
          <w:p>
            <w:pPr>
              <w:spacing w:after="40"/>
            </w:pPr>
            <w:r>
              <w:rPr>
                <w:sz w:val="20"/>
              </w:rPr>
              <w:t>Same shaping with the −0.1·runtime term removed (diagnosed as taxing every step equally rather than specifically discouraging unhelpful continuation)</w:t>
            </w:r>
          </w:p>
        </w:tc>
        <w:tc>
          <w:tcPr>
            <w:tcW w:type="dxa" w:w="1728"/>
          </w:tcPr>
          <w:p>
            <w:pPr>
              <w:spacing w:after="40"/>
            </w:pPr>
            <w:r>
              <w:rPr>
                <w:sz w:val="20"/>
              </w:rPr>
              <w:t>—</w:t>
            </w:r>
          </w:p>
        </w:tc>
        <w:tc>
          <w:tcPr>
            <w:tcW w:type="dxa" w:w="1728"/>
          </w:tcPr>
          <w:p>
            <w:pPr>
              <w:spacing w:after="40"/>
            </w:pPr>
            <w:r>
              <w:rPr>
                <w:sz w:val="20"/>
              </w:rPr>
              <w:t>—</w:t>
            </w:r>
          </w:p>
        </w:tc>
      </w:tr>
      <w:tr>
        <w:tc>
          <w:tcPr>
            <w:tcW w:type="dxa" w:w="1728"/>
          </w:tcPr>
          <w:p>
            <w:pPr>
              <w:spacing w:after="40"/>
            </w:pPr>
            <w:r>
              <w:rPr>
                <w:sz w:val="20"/>
              </w:rPr>
              <w:t>v2_reward_heldout</w:t>
            </w:r>
          </w:p>
        </w:tc>
        <w:tc>
          <w:tcPr>
            <w:tcW w:type="dxa" w:w="1728"/>
          </w:tcPr>
          <w:p>
            <w:pPr>
              <w:spacing w:after="40"/>
            </w:pPr>
            <w:r>
              <w:rPr>
                <w:sz w:val="20"/>
              </w:rPr>
              <w:t>3-action (same)</w:t>
            </w:r>
          </w:p>
        </w:tc>
        <w:tc>
          <w:tcPr>
            <w:tcW w:type="dxa" w:w="1728"/>
          </w:tcPr>
          <w:p>
            <w:pPr>
              <w:spacing w:after="40"/>
            </w:pPr>
            <w:r>
              <w:rPr>
                <w:sz w:val="20"/>
              </w:rPr>
              <w:t>Runtime-penalty-removed shaping, environment-level holdout active</w:t>
            </w:r>
          </w:p>
        </w:tc>
        <w:tc>
          <w:tcPr>
            <w:tcW w:type="dxa" w:w="1728"/>
          </w:tcPr>
          <w:p>
            <w:pPr>
              <w:spacing w:after="40"/>
            </w:pPr>
            <w:r>
              <w:rPr>
                <w:sz w:val="20"/>
              </w:rPr>
              <w:t>0.0735</w:t>
            </w:r>
          </w:p>
        </w:tc>
        <w:tc>
          <w:tcPr>
            <w:tcW w:type="dxa" w:w="1728"/>
          </w:tcPr>
          <w:p>
            <w:pPr>
              <w:spacing w:after="40"/>
            </w:pPr>
            <w:r>
              <w:rPr>
                <w:sz w:val="20"/>
              </w:rPr>
              <w:t>61.0% (best multi-step usage observed)</w:t>
            </w:r>
          </w:p>
        </w:tc>
      </w:tr>
      <w:tr>
        <w:tc>
          <w:tcPr>
            <w:tcW w:type="dxa" w:w="1728"/>
          </w:tcPr>
          <w:p>
            <w:pPr>
              <w:spacing w:after="40"/>
            </w:pPr>
            <w:r>
              <w:rPr>
                <w:sz w:val="20"/>
              </w:rPr>
              <w:t>v3_normthresh_heldout</w:t>
            </w:r>
          </w:p>
        </w:tc>
        <w:tc>
          <w:tcPr>
            <w:tcW w:type="dxa" w:w="1728"/>
          </w:tcPr>
          <w:p>
            <w:pPr>
              <w:spacing w:after="40"/>
            </w:pPr>
            <w:r>
              <w:rPr>
                <w:sz w:val="20"/>
              </w:rPr>
              <w:t>4-action (normal_threshold added, agent-controlled)</w:t>
            </w:r>
          </w:p>
        </w:tc>
        <w:tc>
          <w:tcPr>
            <w:tcW w:type="dxa" w:w="1728"/>
          </w:tcPr>
          <w:p>
            <w:pPr>
              <w:spacing w:after="40"/>
            </w:pPr>
            <w:r>
              <w:rPr>
                <w:sz w:val="20"/>
              </w:rPr>
              <w:t>Same shaping structure; the terminal-only normal_consistency bonus resurfaced its early-stopping bias under the expanded action space</w:t>
            </w:r>
          </w:p>
        </w:tc>
        <w:tc>
          <w:tcPr>
            <w:tcW w:type="dxa" w:w="1728"/>
          </w:tcPr>
          <w:p>
            <w:pPr>
              <w:spacing w:after="40"/>
            </w:pPr>
            <w:r>
              <w:rPr>
                <w:sz w:val="20"/>
              </w:rPr>
              <w:t>0.0947</w:t>
            </w:r>
          </w:p>
        </w:tc>
        <w:tc>
          <w:tcPr>
            <w:tcW w:type="dxa" w:w="1728"/>
          </w:tcPr>
          <w:p>
            <w:pPr>
              <w:spacing w:after="40"/>
            </w:pPr>
            <w:r>
              <w:rPr>
                <w:sz w:val="20"/>
              </w:rPr>
              <w:t>79.6% (regression)</w:t>
            </w:r>
          </w:p>
        </w:tc>
      </w:tr>
      <w:tr>
        <w:tc>
          <w:tcPr>
            <w:tcW w:type="dxa" w:w="1728"/>
          </w:tcPr>
          <w:p>
            <w:pPr>
              <w:spacing w:after="40"/>
            </w:pPr>
            <w:r>
              <w:rPr>
                <w:sz w:val="20"/>
              </w:rPr>
              <w:t>Current code (post-fix, not yet retrained/evaluated)</w:t>
            </w:r>
          </w:p>
        </w:tc>
        <w:tc>
          <w:tcPr>
            <w:tcW w:type="dxa" w:w="1728"/>
          </w:tcPr>
          <w:p>
            <w:pPr>
              <w:spacing w:after="40"/>
            </w:pPr>
            <w:r>
              <w:rPr>
                <w:sz w:val="20"/>
              </w:rPr>
              <w:t>4-action (same)</w:t>
            </w:r>
          </w:p>
        </w:tc>
        <w:tc>
          <w:tcPr>
            <w:tcW w:type="dxa" w:w="1728"/>
          </w:tcPr>
          <w:p>
            <w:pPr>
              <w:spacing w:after="40"/>
            </w:pPr>
            <w:r>
              <w:rPr>
                <w:sz w:val="20"/>
              </w:rPr>
              <w:t>Φ = inlier − 0.5·residual + 0.15·z_align, with z_align recomputed every step instead of a static terminal bonus; no separate terminal-only term</w:t>
            </w:r>
          </w:p>
        </w:tc>
        <w:tc>
          <w:tcPr>
            <w:tcW w:type="dxa" w:w="1728"/>
          </w:tcPr>
          <w:p>
            <w:pPr>
              <w:spacing w:after="40"/>
            </w:pPr>
            <w:r>
              <w:rPr>
                <w:sz w:val="20"/>
              </w:rPr>
              <w:t>No evaluation data yet</w:t>
            </w:r>
          </w:p>
        </w:tc>
        <w:tc>
          <w:tcPr>
            <w:tcW w:type="dxa" w:w="1728"/>
          </w:tcPr>
          <w:p>
            <w:pPr>
              <w:spacing w:after="40"/>
            </w:pPr>
            <w:r>
              <w:rPr>
                <w:sz w:val="20"/>
              </w:rPr>
              <w:t>No evaluation data yet</w:t>
            </w:r>
          </w:p>
        </w:tc>
      </w:tr>
    </w:tbl>
    <w:p/>
    <w:p>
      <w:pPr>
        <w:spacing w:before="40" w:after="240"/>
      </w:pPr>
      <w:r>
        <w:rPr>
          <w:i/>
          <w:color w:val="595959"/>
          <w:sz w:val="19"/>
        </w:rPr>
        <w:t>Table A.1 — Reward formula version history and measured effect on episode step usage.</w:t>
      </w:r>
    </w:p>
    <w:p>
      <w:pPr>
        <w:spacing w:before="80" w:after="200"/>
        <w:ind w:left="283"/>
      </w:pPr>
      <w:r>
        <w:rPr>
          <w:b/>
          <w:i/>
          <w:color w:val="B05A00"/>
          <w:sz w:val="20"/>
        </w:rPr>
        <w:t xml:space="preserve">Note: </w:t>
      </w:r>
      <w:r>
        <w:rPr>
          <w:i/>
          <w:color w:val="B05A00"/>
          <w:sz w:val="20"/>
        </w:rPr>
        <w:t>The final row's fix was verified only via a compilation check and an isolated smoke test at the time of writing, not a full training run; its actual effect on inlier ratio and multi-step usage remains to be measured.</w:t>
      </w:r>
    </w:p>
    <w:p>
      <w:r>
        <w:br w:type="page"/>
      </w:r>
    </w:p>
    <w:p>
      <w:pPr>
        <w:pStyle w:val="Heading1"/>
      </w:pPr>
      <w:r>
        <w:t>Appendix B: Repository / File Reference</w:t>
      </w:r>
    </w:p>
    <w:p>
      <w:r>
        <w:t>Key files referenced in this report, for readers who want to inspect the implementation directly:</w:t>
      </w:r>
    </w:p>
    <w:tbl>
      <w:tblPr>
        <w:tblStyle w:val="LightGrid-Accent1"/>
        <w:tblW w:type="auto" w:w="0"/>
        <w:jc w:val="center"/>
        <w:tblLook w:firstColumn="1" w:firstRow="1" w:lastColumn="0" w:lastRow="0" w:noHBand="0" w:noVBand="1" w:val="04A0"/>
      </w:tblPr>
      <w:tblGrid>
        <w:gridCol w:w="4320"/>
        <w:gridCol w:w="4320"/>
      </w:tblGrid>
      <w:tr>
        <w:tc>
          <w:tcPr>
            <w:tcW w:type="dxa" w:w="4320"/>
            <w:shd w:fill="2E5E8C"/>
          </w:tcPr>
          <w:p>
            <w:pPr>
              <w:spacing w:after="40"/>
            </w:pPr>
            <w:r>
              <w:rPr>
                <w:b/>
                <w:color w:val="FFFFFF"/>
              </w:rPr>
              <w:t>File</w:t>
            </w:r>
          </w:p>
        </w:tc>
        <w:tc>
          <w:tcPr>
            <w:tcW w:type="dxa" w:w="4320"/>
            <w:shd w:fill="2E5E8C"/>
          </w:tcPr>
          <w:p>
            <w:pPr>
              <w:spacing w:after="40"/>
            </w:pPr>
            <w:r>
              <w:rPr>
                <w:b/>
                <w:color w:val="FFFFFF"/>
              </w:rPr>
              <w:t>Purpose</w:t>
            </w:r>
          </w:p>
        </w:tc>
      </w:tr>
      <w:tr>
        <w:tc>
          <w:tcPr>
            <w:tcW w:type="dxa" w:w="4320"/>
          </w:tcPr>
          <w:p>
            <w:pPr>
              <w:spacing w:after="40"/>
            </w:pPr>
            <w:r>
              <w:rPr>
                <w:sz w:val="20"/>
              </w:rPr>
              <w:t>ransac_env.py</w:t>
            </w:r>
          </w:p>
        </w:tc>
        <w:tc>
          <w:tcPr>
            <w:tcW w:type="dxa" w:w="4320"/>
          </w:tcPr>
          <w:p>
            <w:pPr>
              <w:spacing w:after="40"/>
            </w:pPr>
            <w:r>
              <w:rPr>
                <w:sz w:val="20"/>
              </w:rPr>
              <w:t>Gymnasium environment: observation/action space, reward, ground-plane selection logic, adaptive curriculum sampling, environment/frame holdout splitting</w:t>
            </w:r>
          </w:p>
        </w:tc>
      </w:tr>
      <w:tr>
        <w:tc>
          <w:tcPr>
            <w:tcW w:type="dxa" w:w="4320"/>
          </w:tcPr>
          <w:p>
            <w:pPr>
              <w:spacing w:after="40"/>
            </w:pPr>
            <w:r>
              <w:rPr>
                <w:sz w:val="20"/>
              </w:rPr>
              <w:t>train_rl.py</w:t>
            </w:r>
          </w:p>
        </w:tc>
        <w:tc>
          <w:tcPr>
            <w:tcW w:type="dxa" w:w="4320"/>
          </w:tcPr>
          <w:p>
            <w:pPr>
              <w:spacing w:after="40"/>
            </w:pPr>
            <w:r>
              <w:rPr>
                <w:sz w:val="20"/>
              </w:rPr>
              <w:t>PPO training entry point, checkpointing, run tagging/resume logic</w:t>
            </w:r>
          </w:p>
        </w:tc>
      </w:tr>
      <w:tr>
        <w:tc>
          <w:tcPr>
            <w:tcW w:type="dxa" w:w="4320"/>
          </w:tcPr>
          <w:p>
            <w:pPr>
              <w:spacing w:after="40"/>
            </w:pPr>
            <w:r>
              <w:rPr>
                <w:sz w:val="20"/>
              </w:rPr>
              <w:t>rl_evaluator.py / eval_rellis3d.py</w:t>
            </w:r>
          </w:p>
        </w:tc>
        <w:tc>
          <w:tcPr>
            <w:tcW w:type="dxa" w:w="4320"/>
          </w:tcPr>
          <w:p>
            <w:pPr>
              <w:spacing w:after="40"/>
            </w:pPr>
            <w:r>
              <w:rPr>
                <w:sz w:val="20"/>
              </w:rPr>
              <w:t>Evaluation scripts (TartanAir proxy metrics and planned RELLIS-3D ground-truth metrics respectively)</w:t>
            </w:r>
          </w:p>
        </w:tc>
      </w:tr>
      <w:tr>
        <w:tc>
          <w:tcPr>
            <w:tcW w:type="dxa" w:w="4320"/>
          </w:tcPr>
          <w:p>
            <w:pPr>
              <w:spacing w:after="40"/>
            </w:pPr>
            <w:r>
              <w:rPr>
                <w:sz w:val="20"/>
              </w:rPr>
              <w:t>baseline_evaluator.py</w:t>
            </w:r>
          </w:p>
        </w:tc>
        <w:tc>
          <w:tcPr>
            <w:tcW w:type="dxa" w:w="4320"/>
          </w:tcPr>
          <w:p>
            <w:pPr>
              <w:spacing w:after="40"/>
            </w:pPr>
            <w:r>
              <w:rPr>
                <w:sz w:val="20"/>
              </w:rPr>
              <w:t>Fixed-parameter (Strict/Standard/Loose) baseline sweep</w:t>
            </w:r>
          </w:p>
        </w:tc>
      </w:tr>
      <w:tr>
        <w:tc>
          <w:tcPr>
            <w:tcW w:type="dxa" w:w="4320"/>
          </w:tcPr>
          <w:p>
            <w:pPr>
              <w:spacing w:after="40"/>
            </w:pPr>
            <w:r>
              <w:rPr>
                <w:sz w:val="20"/>
              </w:rPr>
              <w:t>compare_results.py / plot_comparison.py / per_frame_comparison.py</w:t>
            </w:r>
          </w:p>
        </w:tc>
        <w:tc>
          <w:tcPr>
            <w:tcW w:type="dxa" w:w="4320"/>
          </w:tcPr>
          <w:p>
            <w:pPr>
              <w:spacing w:after="40"/>
            </w:pPr>
            <w:r>
              <w:rPr>
                <w:sz w:val="20"/>
              </w:rPr>
              <w:t>Per-frame and aggregate comparison tooling used to produce the results in Section 7</w:t>
            </w:r>
          </w:p>
        </w:tc>
      </w:tr>
      <w:tr>
        <w:tc>
          <w:tcPr>
            <w:tcW w:type="dxa" w:w="4320"/>
          </w:tcPr>
          <w:p>
            <w:pPr>
              <w:spacing w:after="40"/>
            </w:pPr>
            <w:r>
              <w:rPr>
                <w:sz w:val="20"/>
              </w:rPr>
              <w:t>download_rellis3d.py / rellis3d_convert.py</w:t>
            </w:r>
          </w:p>
        </w:tc>
        <w:tc>
          <w:tcPr>
            <w:tcW w:type="dxa" w:w="4320"/>
          </w:tcPr>
          <w:p>
            <w:pPr>
              <w:spacing w:after="40"/>
            </w:pPr>
            <w:r>
              <w:rPr>
                <w:sz w:val="20"/>
              </w:rPr>
              <w:t>RELLIS-3D download and format conversion, including ground-truth mask derivation</w:t>
            </w:r>
          </w:p>
        </w:tc>
      </w:tr>
      <w:tr>
        <w:tc>
          <w:tcPr>
            <w:tcW w:type="dxa" w:w="4320"/>
          </w:tcPr>
          <w:p>
            <w:pPr>
              <w:spacing w:after="40"/>
            </w:pPr>
            <w:r>
              <w:rPr>
                <w:sz w:val="20"/>
              </w:rPr>
              <w:t>traversability.py / compare_on_complete_cloud.py / compare_on_trajectory_map.py</w:t>
            </w:r>
          </w:p>
        </w:tc>
        <w:tc>
          <w:tcPr>
            <w:tcW w:type="dxa" w:w="4320"/>
          </w:tcPr>
          <w:p>
            <w:pPr>
              <w:spacing w:after="40"/>
            </w:pPr>
            <w:r>
              <w:rPr>
                <w:sz w:val="20"/>
              </w:rPr>
              <w:t>Independent grid-based traversability classifier used for the cross-validation in Section 8.6</w:t>
            </w:r>
          </w:p>
        </w:tc>
      </w:tr>
      <w:tr>
        <w:tc>
          <w:tcPr>
            <w:tcW w:type="dxa" w:w="4320"/>
          </w:tcPr>
          <w:p>
            <w:pPr>
              <w:spacing w:after="40"/>
            </w:pPr>
            <w:r>
              <w:rPr>
                <w:sz w:val="20"/>
              </w:rPr>
              <w:t>schnabel_cython/, Efficient-RANSAC-for-Point-Cloud-Shape-Detection/</w:t>
            </w:r>
          </w:p>
        </w:tc>
        <w:tc>
          <w:tcPr>
            <w:tcW w:type="dxa" w:w="4320"/>
          </w:tcPr>
          <w:p>
            <w:pPr>
              <w:spacing w:after="40"/>
            </w:pPr>
            <w:r>
              <w:rPr>
                <w:sz w:val="20"/>
              </w:rPr>
              <w:t>Cython bridge and vendored C++ reference implementation of Schnabel et al.'s Efficient RANSAC</w:t>
            </w:r>
          </w:p>
        </w:tc>
      </w:tr>
      <w:tr>
        <w:tc>
          <w:tcPr>
            <w:tcW w:type="dxa" w:w="4320"/>
          </w:tcPr>
          <w:p>
            <w:pPr>
              <w:spacing w:after="40"/>
            </w:pPr>
            <w:r>
              <w:rPr>
                <w:sz w:val="20"/>
              </w:rPr>
              <w:t>BASELINE_CONFIG.md</w:t>
            </w:r>
          </w:p>
        </w:tc>
        <w:tc>
          <w:tcPr>
            <w:tcW w:type="dxa" w:w="4320"/>
          </w:tcPr>
          <w:p>
            <w:pPr>
              <w:spacing w:after="40"/>
            </w:pPr>
            <w:r>
              <w:rPr>
                <w:sz w:val="20"/>
              </w:rPr>
              <w:t>Fixed baseline parameter definitions and dataset list</w:t>
            </w:r>
          </w:p>
        </w:tc>
      </w:tr>
      <w:tr>
        <w:tc>
          <w:tcPr>
            <w:tcW w:type="dxa" w:w="4320"/>
          </w:tcPr>
          <w:p>
            <w:pPr>
              <w:spacing w:after="40"/>
            </w:pPr>
            <w:r>
              <w:rPr>
                <w:sz w:val="20"/>
              </w:rPr>
              <w:t>ADAPTIVE_RL_PLAN.md / ADAPTIVE_RANSAC_RL_IDEA.md / RL_PIPELINE_OVERVIEW.md</w:t>
            </w:r>
          </w:p>
        </w:tc>
        <w:tc>
          <w:tcPr>
            <w:tcW w:type="dxa" w:w="4320"/>
          </w:tcPr>
          <w:p>
            <w:pPr>
              <w:spacing w:after="40"/>
            </w:pPr>
            <w:r>
              <w:rPr>
                <w:sz w:val="20"/>
              </w:rPr>
              <w:t>Project planning and design documentation (note: RL_PIPELINE_OVERVIEW.md's action-space description lags one revision behind the current 4-action implementation in ransac_env.py)</w:t>
            </w:r>
          </w:p>
        </w:tc>
      </w:tr>
      <w:tr>
        <w:tc>
          <w:tcPr>
            <w:tcW w:type="dxa" w:w="4320"/>
          </w:tcPr>
          <w:p>
            <w:pPr>
              <w:spacing w:after="40"/>
            </w:pPr>
            <w:r>
              <w:rPr>
                <w:sz w:val="20"/>
              </w:rPr>
              <w:t>DAILY_LOG.md</w:t>
            </w:r>
          </w:p>
        </w:tc>
        <w:tc>
          <w:tcPr>
            <w:tcW w:type="dxa" w:w="4320"/>
          </w:tcPr>
          <w:p>
            <w:pPr>
              <w:spacing w:after="40"/>
            </w:pPr>
            <w:r>
              <w:rPr>
                <w:sz w:val="20"/>
              </w:rPr>
              <w:t>Chronological development log; primary source for the failure-mode and reward-iteration history in Section 8 and Appendix A</w:t>
            </w:r>
          </w:p>
        </w:tc>
      </w:tr>
    </w:tbl>
    <w:p/>
    <w:p>
      <w:r>
        <w:br w:type="page"/>
      </w:r>
    </w:p>
    <w:p>
      <w:pPr>
        <w:pStyle w:val="Heading1"/>
      </w:pPr>
      <w:r>
        <w:t>References</w:t>
      </w:r>
    </w:p>
    <w:p>
      <w:pPr>
        <w:pStyle w:val="ListNumber"/>
      </w:pPr>
      <w:r>
        <w:t>R. Schnabel, R. Wahl, and R. Klein, “Efficient RANSAC for Point-Cloud Shape Detection,” Computer Graphics Forum, vol. 26, no. 2, pp. 214–226, June 2007.</w:t>
      </w:r>
    </w:p>
    <w:p>
      <w:pPr>
        <w:pStyle w:val="ListNumber"/>
      </w:pPr>
      <w:r>
        <w:t>J. Schulman, F. Wolski, P. Dhariwal, A. Radford, and O. Klimov, “Proximal Policy Optimization Algorithms,” arXiv:1707.06347, 2017.</w:t>
      </w:r>
    </w:p>
    <w:p>
      <w:pPr>
        <w:pStyle w:val="ListNumber"/>
      </w:pPr>
      <w:r>
        <w:t>A. Raffin, A. Hill, A. Gleave, A. Kanervisto, M. Ernestus, and N. Dormann, “Stable-Baselines3: Reliable Reinforcement Learning Implementations,” Journal of Machine Learning Research, vol. 22, no. 268, pp. 1–8, 2021.</w:t>
      </w:r>
    </w:p>
    <w:p>
      <w:pPr>
        <w:pStyle w:val="ListNumber"/>
      </w:pPr>
      <w:r>
        <w:t>W. Wang et al., “TartanAir: A Dataset to Push the Limits of Visual SLAM,” IEEE/RSJ International Conference on Intelligent Robots and Systems (IROS), 2020.</w:t>
      </w:r>
    </w:p>
    <w:p>
      <w:pPr>
        <w:pStyle w:val="ListNumber"/>
      </w:pPr>
      <w:r>
        <w:t>P. Jiang et al., “RELLIS-3D Dataset: Data, Benchmarks and Analysis,” IEEE International Conference on Robotics and Automation (ICRA),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F2A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2E5E8C"/>
      <w:sz w:val="40"/>
      <w:szCs w:val="28"/>
    </w:rPr>
  </w:style>
  <w:style w:type="paragraph" w:styleId="Heading2">
    <w:name w:val="heading 2"/>
    <w:basedOn w:val="Normal"/>
    <w:next w:val="Normal"/>
    <w:link w:val="Heading2Char"/>
    <w:uiPriority w:val="9"/>
    <w:unhideWhenUsed/>
    <w:qFormat/>
    <w:rsid w:val="00FC693F"/>
    <w:pPr>
      <w:keepNext/>
      <w:keepLines/>
      <w:spacing w:before="320" w:after="0"/>
      <w:outlineLvl w:val="1"/>
    </w:pPr>
    <w:rPr>
      <w:rFonts w:asciiTheme="majorHAnsi" w:eastAsiaTheme="majorEastAsia" w:hAnsiTheme="majorHAnsi" w:cstheme="majorBidi" w:ascii="Calibri" w:hAnsi="Calibri"/>
      <w:b/>
      <w:bCs/>
      <w:color w:val="2E5E8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3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5E8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