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2758" w14:textId="77777777" w:rsidR="00153ED4" w:rsidRDefault="00457975">
      <w:pPr>
        <w:spacing w:after="120"/>
      </w:pPr>
      <w:r>
        <w:rPr>
          <w:b/>
          <w:color w:val="1E3A8A"/>
          <w:sz w:val="44"/>
        </w:rPr>
        <w:t>Digital Marketing Campaign Performance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53ED4" w14:paraId="5C6F3B46" w14:textId="77777777">
        <w:trPr>
          <w:jc w:val="center"/>
        </w:trPr>
        <w:tc>
          <w:tcPr>
            <w:tcW w:w="9936" w:type="dxa"/>
            <w:tcBorders>
              <w:left w:val="single" w:sz="24" w:space="0" w:color="2563EB"/>
            </w:tcBorders>
            <w:shd w:val="clear" w:color="auto" w:fill="F1F5F9"/>
          </w:tcPr>
          <w:p w14:paraId="2A500F7F" w14:textId="77777777" w:rsidR="00153ED4" w:rsidRDefault="00457975">
            <w:pPr>
              <w:spacing w:before="120" w:after="120"/>
            </w:pPr>
            <w:r>
              <w:rPr>
                <w:b/>
                <w:color w:val="1E3A8A"/>
              </w:rPr>
              <w:t xml:space="preserve">Quick Overview: </w:t>
            </w:r>
            <w:r>
              <w:t>This report breaks down how our digital marketing campaigns performed across 8,000 customers. We cleaned the dataset, analyzed it using SQL queries, and uncovered actionable takeaways on what drives conversions.</w:t>
            </w:r>
          </w:p>
        </w:tc>
      </w:tr>
    </w:tbl>
    <w:p w14:paraId="3241D8DA" w14:textId="77777777" w:rsidR="00153ED4" w:rsidRDefault="00153ED4">
      <w:pPr>
        <w:spacing w:after="80"/>
      </w:pPr>
    </w:p>
    <w:p w14:paraId="2328F6AB" w14:textId="77777777" w:rsidR="00153ED4" w:rsidRDefault="00457975">
      <w:pPr>
        <w:keepNext/>
        <w:spacing w:before="280" w:after="80"/>
      </w:pPr>
      <w:r>
        <w:rPr>
          <w:b/>
          <w:color w:val="1E3A8A"/>
          <w:sz w:val="30"/>
        </w:rPr>
        <w:t>1. Key Campaign Highlights</w:t>
      </w:r>
    </w:p>
    <w:p w14:paraId="758BBEEE" w14:textId="77777777" w:rsidR="00153ED4" w:rsidRDefault="00457975">
      <w:r>
        <w:t>Here is a quick snapshot of the high-level numbers from the campaign analysis:</w:t>
      </w:r>
    </w:p>
    <w:p w14:paraId="0D28B53D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Total Audience Analyzed: </w:t>
      </w:r>
      <w:r>
        <w:t>8,000 customers</w:t>
      </w:r>
    </w:p>
    <w:p w14:paraId="6DBD938A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Total Conversions: </w:t>
      </w:r>
      <w:r>
        <w:t>7,012 successful conversions</w:t>
      </w:r>
    </w:p>
    <w:p w14:paraId="1CD1FFAF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Overall Conversion Rate: </w:t>
      </w:r>
      <w:r>
        <w:t>87.65%</w:t>
      </w:r>
    </w:p>
    <w:p w14:paraId="3F4A9B70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Average Ad Spend per Customer: </w:t>
      </w:r>
      <w:r>
        <w:t>$5,000.94</w:t>
      </w:r>
    </w:p>
    <w:p w14:paraId="2C3A00BD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Average Click-Through Rate (CTR): </w:t>
      </w:r>
      <w:r>
        <w:t>15.48%</w:t>
      </w:r>
    </w:p>
    <w:p w14:paraId="483B1F76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Average Time Spent on Site: </w:t>
      </w:r>
      <w:r>
        <w:t>7.73 minutes</w:t>
      </w:r>
    </w:p>
    <w:p w14:paraId="1F32D2AD" w14:textId="77777777" w:rsidR="00153ED4" w:rsidRDefault="00457975">
      <w:pPr>
        <w:keepNext/>
        <w:spacing w:before="280" w:after="80"/>
      </w:pPr>
      <w:r>
        <w:rPr>
          <w:b/>
          <w:color w:val="1E3A8A"/>
          <w:sz w:val="30"/>
        </w:rPr>
        <w:t>2. Simple 4-Step Project Workflow</w:t>
      </w:r>
    </w:p>
    <w:p w14:paraId="7BC90465" w14:textId="77777777" w:rsidR="00153ED4" w:rsidRDefault="00457975">
      <w:pPr>
        <w:pStyle w:val="ListBullet"/>
        <w:spacing w:before="40" w:after="60"/>
      </w:pPr>
      <w:r>
        <w:rPr>
          <w:b/>
        </w:rPr>
        <w:t xml:space="preserve">Step 1: Data Collection – </w:t>
      </w:r>
      <w:r>
        <w:t>Imported raw campaign performance data containing customer metrics from Kaggle.</w:t>
      </w:r>
    </w:p>
    <w:p w14:paraId="69BA96D1" w14:textId="77777777" w:rsidR="00153ED4" w:rsidRDefault="00457975">
      <w:pPr>
        <w:pStyle w:val="ListBullet"/>
        <w:spacing w:before="40" w:after="60"/>
      </w:pPr>
      <w:r>
        <w:rPr>
          <w:b/>
        </w:rPr>
        <w:t xml:space="preserve">Step 2: Cleaning &amp; Formatting – </w:t>
      </w:r>
      <w:r>
        <w:t>Cleaned column names into clear formats, checked for zero missing values, group-binned age and income tiers, and created human-readable target labels.</w:t>
      </w:r>
    </w:p>
    <w:p w14:paraId="3638C125" w14:textId="77777777" w:rsidR="00153ED4" w:rsidRDefault="00457975">
      <w:pPr>
        <w:pStyle w:val="ListBullet"/>
        <w:spacing w:before="40" w:after="60"/>
      </w:pPr>
      <w:r>
        <w:rPr>
          <w:b/>
        </w:rPr>
        <w:t xml:space="preserve">Step 3: Database &amp; SQL Queries – </w:t>
      </w:r>
      <w:r>
        <w:t>Uploaded clean data to a MySQL database to extract clear business metrics without clutter.</w:t>
      </w:r>
    </w:p>
    <w:p w14:paraId="3A566D87" w14:textId="77777777" w:rsidR="00153ED4" w:rsidRDefault="00457975">
      <w:pPr>
        <w:pStyle w:val="ListBullet"/>
        <w:spacing w:before="40" w:after="60"/>
      </w:pPr>
      <w:r>
        <w:rPr>
          <w:b/>
        </w:rPr>
        <w:t xml:space="preserve">Step 4: Visual Dashboard – </w:t>
      </w:r>
      <w:r>
        <w:t>Connected the dataset to Power BI for clear, interactive visual reporting.</w:t>
      </w:r>
    </w:p>
    <w:p w14:paraId="20B499A7" w14:textId="77777777" w:rsidR="00153ED4" w:rsidRDefault="00457975">
      <w:pPr>
        <w:keepNext/>
        <w:spacing w:before="280" w:after="80"/>
      </w:pPr>
      <w:r>
        <w:rPr>
          <w:b/>
          <w:color w:val="1E3A8A"/>
          <w:sz w:val="30"/>
        </w:rPr>
        <w:t>3. Core Takeaways from SQL Queries</w:t>
      </w:r>
    </w:p>
    <w:p w14:paraId="4B776BB1" w14:textId="77777777" w:rsidR="00153ED4" w:rsidRDefault="00457975">
      <w:pPr>
        <w:keepNext/>
        <w:spacing w:before="200" w:after="60"/>
      </w:pPr>
      <w:r>
        <w:rPr>
          <w:b/>
          <w:color w:val="2563EB"/>
          <w:sz w:val="25"/>
        </w:rPr>
        <w:t>3.1 Audience &amp; Demographics</w:t>
      </w:r>
    </w:p>
    <w:p w14:paraId="3F6B3ED7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Gender Balance: </w:t>
      </w:r>
      <w:r>
        <w:t>Conversion rates remain nearly identical between female (87.62%) and male (87.69%) audiences, showing equal effectiveness across genders.</w:t>
      </w:r>
    </w:p>
    <w:p w14:paraId="10569A45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Age Group Consistency: </w:t>
      </w:r>
      <w:r>
        <w:t>Adults aged 32–43 yield the highest conversion rate at 87.93%, but conversion rates stay remarkably high across all age groups (87.35% to 87.93%).</w:t>
      </w:r>
    </w:p>
    <w:p w14:paraId="65690C93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Income Tiers: </w:t>
      </w:r>
      <w:r>
        <w:t>High-income customers lead conversions at 88.15%, while medium (87.51%) and low-income tiers (87.29%) follow closely behind.</w:t>
      </w:r>
    </w:p>
    <w:p w14:paraId="0A14567F" w14:textId="77777777" w:rsidR="00153ED4" w:rsidRDefault="00457975">
      <w:pPr>
        <w:keepNext/>
        <w:spacing w:before="200" w:after="60"/>
      </w:pPr>
      <w:r>
        <w:rPr>
          <w:b/>
          <w:color w:val="2563EB"/>
          <w:sz w:val="25"/>
        </w:rPr>
        <w:t>3.2 Marketing Channels &amp; Campaign Types</w:t>
      </w:r>
    </w:p>
    <w:p w14:paraId="4946F99D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Top Performing Channel: </w:t>
      </w:r>
      <w:r>
        <w:t>Referral marketing achieved the highest conversion rate (88.31%), followed very closely by PPC (88.28%).</w:t>
      </w:r>
    </w:p>
    <w:p w14:paraId="42E2CDB5" w14:textId="77777777" w:rsidR="00153ED4" w:rsidRDefault="00457975">
      <w:pPr>
        <w:pStyle w:val="ListBullet"/>
        <w:spacing w:before="20" w:after="40"/>
      </w:pPr>
      <w:r>
        <w:rPr>
          <w:b/>
        </w:rPr>
        <w:lastRenderedPageBreak/>
        <w:t xml:space="preserve">Budget Efficiency (Social &amp; Email): </w:t>
      </w:r>
      <w:r>
        <w:t>Social Media and Email channels operated on lower ad spend budgets while outperforming baseline conversion expectations, making them cost-effective scaling opportunities.</w:t>
      </w:r>
    </w:p>
    <w:p w14:paraId="11FA7226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Conversion-Focused Campaigns Win: </w:t>
      </w:r>
      <w:r>
        <w:t>Campaigns specifically optimized for 'Conversion' achieved a massive 93.36% conversion rate and the lowest cost per conversion ($5,312.06) compared to Awareness or Consideration campaigns (~85.56%).</w:t>
      </w:r>
    </w:p>
    <w:p w14:paraId="4FF9C3AA" w14:textId="77777777" w:rsidR="00153ED4" w:rsidRDefault="00457975">
      <w:pPr>
        <w:keepNext/>
        <w:spacing w:before="200" w:after="60"/>
      </w:pPr>
      <w:r>
        <w:rPr>
          <w:b/>
          <w:color w:val="2563EB"/>
          <w:sz w:val="25"/>
        </w:rPr>
        <w:t>3.3 Customer Behavior &amp; Engagement Signals</w:t>
      </w:r>
    </w:p>
    <w:p w14:paraId="3BD442E0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Site Time Matters Most: </w:t>
      </w:r>
      <w:r>
        <w:t>Customers who converted spent +26.5% more time on the website (7.93 min vs. 6.27 min) compared to non-converted visitors.</w:t>
      </w:r>
    </w:p>
    <w:p w14:paraId="5916575A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Email Engagement Signals: </w:t>
      </w:r>
      <w:r>
        <w:t>Email clicks showed a +32.5% higher frequency among converted customers (4.61 clicks) versus non-converted (3.48 clicks).</w:t>
      </w:r>
    </w:p>
    <w:p w14:paraId="4921F894" w14:textId="77777777" w:rsidR="00153ED4" w:rsidRDefault="00457975">
      <w:pPr>
        <w:pStyle w:val="ListBullet"/>
        <w:spacing w:before="20" w:after="40"/>
      </w:pPr>
      <w:r>
        <w:rPr>
          <w:b/>
        </w:rPr>
        <w:t xml:space="preserve">Past History Boosts Loyalty: </w:t>
      </w:r>
      <w:r>
        <w:t>Converted users averaged 4.61 previous purchases (+27.0% higher than non-converted users).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153ED4" w14:paraId="30DF382A" w14:textId="77777777">
        <w:trPr>
          <w:jc w:val="center"/>
        </w:trPr>
        <w:tc>
          <w:tcPr>
            <w:tcW w:w="9936" w:type="dxa"/>
            <w:tcBorders>
              <w:left w:val="single" w:sz="24" w:space="0" w:color="2563EB"/>
            </w:tcBorders>
            <w:shd w:val="clear" w:color="auto" w:fill="F1F5F9"/>
          </w:tcPr>
          <w:p w14:paraId="374A1A49" w14:textId="1BD88AD6" w:rsidR="00153ED4" w:rsidRDefault="00453614">
            <w:pPr>
              <w:spacing w:before="120" w:after="120"/>
            </w:pPr>
            <w:r w:rsidRPr="00453614">
              <w:rPr>
                <w:noProof/>
              </w:rPr>
              <w:drawing>
                <wp:inline distT="0" distB="0" distL="0" distR="0" wp14:anchorId="5D52F873" wp14:editId="53124345">
                  <wp:extent cx="6309360" cy="3527425"/>
                  <wp:effectExtent l="0" t="0" r="0" b="0"/>
                  <wp:docPr id="499908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080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2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A6E55" w14:textId="77777777" w:rsidR="00153ED4" w:rsidRDefault="00153ED4">
      <w:pPr>
        <w:spacing w:after="80"/>
      </w:pPr>
    </w:p>
    <w:p w14:paraId="39E7B33B" w14:textId="77777777" w:rsidR="00153ED4" w:rsidRDefault="00457975">
      <w:pPr>
        <w:keepNext/>
        <w:spacing w:before="280" w:after="80"/>
      </w:pPr>
      <w:r>
        <w:rPr>
          <w:b/>
          <w:color w:val="1E3A8A"/>
          <w:sz w:val="30"/>
        </w:rPr>
        <w:t>4. Key Takeaways &amp; Recommendations</w:t>
      </w:r>
    </w:p>
    <w:p w14:paraId="08D3BE1F" w14:textId="42739AE2" w:rsidR="00153ED4" w:rsidRPr="00BA27CA" w:rsidRDefault="00457975" w:rsidP="00BA27CA">
      <w:pPr>
        <w:pStyle w:val="ListBullet"/>
        <w:spacing w:before="40" w:after="60"/>
        <w:rPr>
          <w:lang w:val="en-IN"/>
        </w:rPr>
      </w:pPr>
      <w:r>
        <w:rPr>
          <w:b/>
        </w:rPr>
        <w:t>Double Down on Conversion-Specific Campaigns:</w:t>
      </w:r>
      <w:r w:rsidR="00BA27CA" w:rsidRPr="00BA27CA">
        <w:rPr>
          <w:lang w:val="en-IN"/>
        </w:rPr>
        <w:t xml:space="preserve"> Spend more of your marketing budget on campaigns that target people who are ready to make a purchase. This brings in a much higher return on your investment and costs le</w:t>
      </w:r>
      <w:r w:rsidR="00BA27CA">
        <w:rPr>
          <w:lang w:val="en-IN"/>
        </w:rPr>
        <w:t>ss.</w:t>
      </w:r>
    </w:p>
    <w:p w14:paraId="3E315D04" w14:textId="47CB7601" w:rsidR="00153ED4" w:rsidRDefault="00457975">
      <w:pPr>
        <w:pStyle w:val="ListBullet"/>
        <w:spacing w:before="40" w:after="60"/>
      </w:pPr>
      <w:r w:rsidRPr="00BA27CA">
        <w:rPr>
          <w:b/>
        </w:rPr>
        <w:t xml:space="preserve">Scale Spend on Email &amp; </w:t>
      </w:r>
      <w:proofErr w:type="gramStart"/>
      <w:r w:rsidR="00BA27CA" w:rsidRPr="00BA27CA">
        <w:rPr>
          <w:b/>
        </w:rPr>
        <w:t>Social Media</w:t>
      </w:r>
      <w:proofErr w:type="gramEnd"/>
      <w:r>
        <w:rPr>
          <w:b/>
        </w:rPr>
        <w:t xml:space="preserve">: </w:t>
      </w:r>
      <w:r>
        <w:t>Reallocate budget into Email and Social Media channels to take advantage of their efficiency and lower cost-per-conversion rates.</w:t>
      </w:r>
    </w:p>
    <w:p w14:paraId="06CA2D4F" w14:textId="05AC4F96" w:rsidR="00153ED4" w:rsidRDefault="00457975">
      <w:pPr>
        <w:pStyle w:val="ListBullet"/>
        <w:spacing w:before="40" w:after="60"/>
      </w:pPr>
      <w:r w:rsidRPr="00010685">
        <w:rPr>
          <w:b/>
        </w:rPr>
        <w:t xml:space="preserve">Retarget Engaged Users: </w:t>
      </w:r>
      <w:r w:rsidR="00010685" w:rsidRPr="00010685">
        <w:t>Set up automatic messages for people who have already bought from you or spent a lot of time on your website. These actions show they are highly likely to buy again.</w:t>
      </w:r>
    </w:p>
    <w:sectPr w:rsidR="00153ED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074053">
    <w:abstractNumId w:val="8"/>
  </w:num>
  <w:num w:numId="2" w16cid:durableId="1996564364">
    <w:abstractNumId w:val="6"/>
  </w:num>
  <w:num w:numId="3" w16cid:durableId="1574241581">
    <w:abstractNumId w:val="5"/>
  </w:num>
  <w:num w:numId="4" w16cid:durableId="1212381361">
    <w:abstractNumId w:val="4"/>
  </w:num>
  <w:num w:numId="5" w16cid:durableId="1486314632">
    <w:abstractNumId w:val="7"/>
  </w:num>
  <w:num w:numId="6" w16cid:durableId="309752254">
    <w:abstractNumId w:val="3"/>
  </w:num>
  <w:num w:numId="7" w16cid:durableId="1006595552">
    <w:abstractNumId w:val="2"/>
  </w:num>
  <w:num w:numId="8" w16cid:durableId="44763832">
    <w:abstractNumId w:val="1"/>
  </w:num>
  <w:num w:numId="9" w16cid:durableId="53728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5"/>
    <w:rsid w:val="00034616"/>
    <w:rsid w:val="0006063C"/>
    <w:rsid w:val="0015074B"/>
    <w:rsid w:val="00153ED4"/>
    <w:rsid w:val="0029639D"/>
    <w:rsid w:val="00326F90"/>
    <w:rsid w:val="00453614"/>
    <w:rsid w:val="00457975"/>
    <w:rsid w:val="004F7E1F"/>
    <w:rsid w:val="005649D7"/>
    <w:rsid w:val="00A85969"/>
    <w:rsid w:val="00AA1D8D"/>
    <w:rsid w:val="00B47730"/>
    <w:rsid w:val="00B955DC"/>
    <w:rsid w:val="00BA27CA"/>
    <w:rsid w:val="00C87E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826EE6-AB2E-463F-A45F-EEC5F31E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Shadab Afroj</cp:lastModifiedBy>
  <cp:revision>7</cp:revision>
  <dcterms:created xsi:type="dcterms:W3CDTF">2013-12-23T23:15:00Z</dcterms:created>
  <dcterms:modified xsi:type="dcterms:W3CDTF">2026-09-13T04:39:00Z</dcterms:modified>
  <cp:category/>
</cp:coreProperties>
</file>