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E852A">
      <w:pPr>
        <w:jc w:val="center"/>
        <w:rPr>
          <w:rFonts w:asciiTheme="majorEastAsia" w:hAnsiTheme="majorEastAsia" w:eastAsiaTheme="majorEastAsia"/>
          <w:sz w:val="84"/>
          <w:szCs w:val="84"/>
        </w:rPr>
      </w:pPr>
      <w:r>
        <w:rPr>
          <w:rFonts w:asciiTheme="majorEastAsia" w:hAnsiTheme="majorEastAsia" w:eastAsiaTheme="majorEastAsia"/>
          <w:sz w:val="84"/>
          <w:szCs w:val="84"/>
        </w:rPr>
        <w:t>基于</w:t>
      </w:r>
      <w:r>
        <w:rPr>
          <w:rFonts w:hint="eastAsia" w:asciiTheme="majorEastAsia" w:hAnsiTheme="majorEastAsia" w:eastAsiaTheme="majorEastAsia"/>
          <w:sz w:val="84"/>
          <w:szCs w:val="84"/>
          <w:lang w:val="en-US" w:eastAsia="zh-CN"/>
        </w:rPr>
        <w:t>多模态的食管鳞癌病变类型识别系统</w:t>
      </w:r>
      <w:r>
        <w:rPr>
          <w:rFonts w:hint="eastAsia" w:asciiTheme="majorEastAsia" w:hAnsiTheme="majorEastAsia" w:eastAsiaTheme="majorEastAsia"/>
          <w:sz w:val="84"/>
          <w:szCs w:val="84"/>
        </w:rPr>
        <w:t>V</w:t>
      </w:r>
      <w:r>
        <w:rPr>
          <w:rFonts w:asciiTheme="majorEastAsia" w:hAnsiTheme="majorEastAsia" w:eastAsiaTheme="majorEastAsia"/>
          <w:sz w:val="84"/>
          <w:szCs w:val="84"/>
        </w:rPr>
        <w:t>1.0</w:t>
      </w:r>
    </w:p>
    <w:p w14:paraId="45CDC349">
      <w:pPr>
        <w:spacing w:line="360" w:lineRule="auto"/>
        <w:jc w:val="center"/>
        <w:rPr>
          <w:rFonts w:hint="eastAsia" w:asciiTheme="majorEastAsia" w:hAnsiTheme="majorEastAsia" w:eastAsiaTheme="majorEastAsia"/>
          <w:sz w:val="96"/>
          <w:szCs w:val="84"/>
        </w:rPr>
      </w:pPr>
      <w:r>
        <w:rPr>
          <w:rFonts w:hint="eastAsia" w:asciiTheme="majorEastAsia" w:hAnsiTheme="majorEastAsia" w:eastAsiaTheme="majorEastAsia"/>
          <w:sz w:val="96"/>
          <w:szCs w:val="84"/>
        </w:rPr>
        <w:t>用户说明书</w:t>
      </w:r>
      <w:bookmarkStart w:id="0" w:name="_Toc130239827"/>
    </w:p>
    <w:p w14:paraId="01C99826">
      <w:pPr>
        <w:widowControl/>
        <w:jc w:val="left"/>
        <w:rPr>
          <w:rFonts w:asciiTheme="minorEastAsia" w:hAnsiTheme="minorEastAsia"/>
          <w:sz w:val="24"/>
          <w:szCs w:val="24"/>
        </w:rPr>
      </w:pPr>
      <w:r>
        <w:rPr>
          <w:rFonts w:asciiTheme="minorEastAsia" w:hAnsiTheme="minorEastAsia"/>
          <w:sz w:val="24"/>
          <w:szCs w:val="24"/>
        </w:rPr>
        <w:br w:type="page"/>
      </w:r>
    </w:p>
    <w:p w14:paraId="2DDE8801">
      <w:pPr>
        <w:spacing w:line="360" w:lineRule="auto"/>
        <w:outlineLvl w:val="0"/>
        <w:rPr>
          <w:rFonts w:asciiTheme="minorEastAsia" w:hAnsiTheme="minorEastAsia"/>
          <w:b/>
          <w:sz w:val="32"/>
          <w:szCs w:val="32"/>
        </w:rPr>
      </w:pPr>
      <w:r>
        <w:rPr>
          <w:rFonts w:hint="eastAsia" w:asciiTheme="minorEastAsia" w:hAnsiTheme="minorEastAsia"/>
          <w:b/>
          <w:sz w:val="32"/>
          <w:szCs w:val="32"/>
        </w:rPr>
        <w:t>1、引言</w:t>
      </w:r>
      <w:bookmarkEnd w:id="0"/>
    </w:p>
    <w:p w14:paraId="4D14498F">
      <w:pPr>
        <w:spacing w:line="360" w:lineRule="auto"/>
        <w:outlineLvl w:val="1"/>
        <w:rPr>
          <w:rFonts w:asciiTheme="minorEastAsia" w:hAnsiTheme="minorEastAsia"/>
          <w:b/>
          <w:sz w:val="28"/>
          <w:szCs w:val="28"/>
        </w:rPr>
      </w:pPr>
      <w:bookmarkStart w:id="1" w:name="_Toc130239828"/>
      <w:r>
        <w:rPr>
          <w:rFonts w:hint="eastAsia" w:asciiTheme="minorEastAsia" w:hAnsiTheme="minorEastAsia"/>
          <w:b/>
          <w:sz w:val="28"/>
          <w:szCs w:val="28"/>
        </w:rPr>
        <w:t>1</w:t>
      </w:r>
      <w:r>
        <w:rPr>
          <w:rFonts w:asciiTheme="minorEastAsia" w:hAnsiTheme="minorEastAsia"/>
          <w:b/>
          <w:sz w:val="28"/>
          <w:szCs w:val="28"/>
        </w:rPr>
        <w:t xml:space="preserve">.1 </w:t>
      </w:r>
      <w:r>
        <w:rPr>
          <w:rFonts w:hint="eastAsia" w:asciiTheme="minorEastAsia" w:hAnsiTheme="minorEastAsia"/>
          <w:b/>
          <w:sz w:val="28"/>
          <w:szCs w:val="28"/>
        </w:rPr>
        <w:t>编写目的</w:t>
      </w:r>
      <w:bookmarkEnd w:id="1"/>
    </w:p>
    <w:p w14:paraId="47DD05C8">
      <w:pPr>
        <w:spacing w:line="440" w:lineRule="exact"/>
        <w:ind w:firstLine="480" w:firstLineChars="200"/>
        <w:outlineLvl w:val="1"/>
        <w:rPr>
          <w:rFonts w:asciiTheme="minorEastAsia" w:hAnsiTheme="minorEastAsia"/>
          <w:sz w:val="24"/>
          <w:szCs w:val="24"/>
        </w:rPr>
      </w:pPr>
      <w:bookmarkStart w:id="2" w:name="_Toc130239829"/>
      <w:r>
        <w:rPr>
          <w:rFonts w:ascii="宋体" w:hAnsi="宋体" w:eastAsia="宋体" w:cs="宋体"/>
          <w:sz w:val="24"/>
          <w:szCs w:val="24"/>
        </w:rPr>
        <w:t>本用户说明书旨在为使用《基于多模态的食管鳞癌病变类型识别系统 V1.0》的相关用户提供完整、规范的软件功能说明与操作指导。通过对系统整体功能、运行环境、使用方式及注意事项的系统性介绍，帮助用户快速理解本系统的设计目标与应用场景，掌握系统的基本使用流程，确保软件能够被正确、高效地部署与使用。本说明书主要面向医学科研人员、临床辅助诊断研究人员以及相关技术开发与测试人员，作为系统使用、功能理解及后续维护的重要参考文档。同时，本说明书也可作为软件成果验收、项目交付及软件著作权申报的技术支撑材料。</w:t>
      </w:r>
    </w:p>
    <w:p w14:paraId="155CBE1F">
      <w:pPr>
        <w:spacing w:line="360" w:lineRule="auto"/>
        <w:outlineLvl w:val="1"/>
        <w:rPr>
          <w:rFonts w:asciiTheme="minorEastAsia" w:hAnsiTheme="minorEastAsia"/>
          <w:sz w:val="24"/>
          <w:szCs w:val="24"/>
        </w:rPr>
      </w:pPr>
      <w:r>
        <w:rPr>
          <w:rFonts w:hint="eastAsia" w:asciiTheme="minorEastAsia" w:hAnsiTheme="minorEastAsia"/>
          <w:b/>
          <w:sz w:val="28"/>
          <w:szCs w:val="28"/>
        </w:rPr>
        <w:t>1</w:t>
      </w:r>
      <w:r>
        <w:rPr>
          <w:rFonts w:asciiTheme="minorEastAsia" w:hAnsiTheme="minorEastAsia"/>
          <w:b/>
          <w:sz w:val="28"/>
          <w:szCs w:val="28"/>
        </w:rPr>
        <w:t xml:space="preserve">.2 </w:t>
      </w:r>
      <w:r>
        <w:rPr>
          <w:rFonts w:hint="eastAsia" w:asciiTheme="minorEastAsia" w:hAnsiTheme="minorEastAsia"/>
          <w:b/>
          <w:sz w:val="28"/>
          <w:szCs w:val="28"/>
        </w:rPr>
        <w:t>开发背景</w:t>
      </w:r>
      <w:bookmarkEnd w:id="2"/>
    </w:p>
    <w:p w14:paraId="42A87E26">
      <w:pPr>
        <w:spacing w:line="440" w:lineRule="exact"/>
        <w:ind w:firstLine="420"/>
        <w:rPr>
          <w:rFonts w:asciiTheme="minorEastAsia" w:hAnsiTheme="minorEastAsia"/>
          <w:sz w:val="24"/>
          <w:szCs w:val="24"/>
        </w:rPr>
      </w:pPr>
      <w:r>
        <w:rPr>
          <w:rFonts w:ascii="宋体" w:hAnsi="宋体" w:eastAsia="宋体" w:cs="宋体"/>
          <w:sz w:val="24"/>
          <w:szCs w:val="24"/>
        </w:rPr>
        <w:t>食管鳞癌是我国发病率和死亡率均较高的消化道恶性肿瘤之一，其病变类型复杂、形态差异明显，早期识别和准确分型对临床诊疗方案的制定具有重要意义。传统的食管鳞癌病变识别主要依赖人工阅片与经验判断，不仅工作量大，而且在病变边界模糊、多类型特征交叉的情况下，容易受到主观因素影响，诊断一致性和效率存在一定局限。随着医学影像技术与人工智能技术的快速发展，多模态数据（内镜图像、</w:t>
      </w:r>
      <w:r>
        <w:rPr>
          <w:rFonts w:hint="eastAsia" w:ascii="宋体" w:hAnsi="宋体" w:eastAsia="宋体" w:cs="宋体"/>
          <w:sz w:val="24"/>
          <w:szCs w:val="24"/>
          <w:lang w:val="en-US" w:eastAsia="zh-CN"/>
        </w:rPr>
        <w:t>超声图像</w:t>
      </w:r>
      <w:r>
        <w:rPr>
          <w:rFonts w:ascii="宋体" w:hAnsi="宋体" w:eastAsia="宋体" w:cs="宋体"/>
          <w:sz w:val="24"/>
          <w:szCs w:val="24"/>
        </w:rPr>
        <w:t>）的联合分析逐渐成为医学辅助诊断的重要研究方向。通过融合不同模态数据所包含的互补信息，可以更全面地刻画病变特征，从而提升病变类型识别的准确性与稳定性。在此背景下，开发一套基于多模态数据融合的食管鳞癌病变类型识别系统具有重要的研究价值与实际应用意义。本系统以多模态医学数据为输入，结合深度学习与模式识别技术，实现对食管鳞癌病变类型的自动识别与分析，旨在为医学研究与临床辅助决策提供可靠的技术支持，提升病变识别效率，降低人工分析负担，推动智能医学影像分析技术在食管癌领域的应用与发展。</w:t>
      </w:r>
    </w:p>
    <w:p w14:paraId="690D37F9">
      <w:pPr>
        <w:spacing w:line="360" w:lineRule="auto"/>
        <w:rPr>
          <w:rFonts w:asciiTheme="minorEastAsia" w:hAnsiTheme="minorEastAsia"/>
          <w:b/>
          <w:sz w:val="32"/>
          <w:szCs w:val="32"/>
        </w:rPr>
      </w:pPr>
      <w:r>
        <w:rPr>
          <w:rFonts w:hint="eastAsia" w:asciiTheme="minorEastAsia" w:hAnsiTheme="minorEastAsia"/>
          <w:b/>
          <w:sz w:val="32"/>
          <w:szCs w:val="32"/>
        </w:rPr>
        <w:t>2、软件总体设计</w:t>
      </w:r>
    </w:p>
    <w:p w14:paraId="49B56910">
      <w:pPr>
        <w:spacing w:line="440" w:lineRule="exact"/>
        <w:rPr>
          <w:rFonts w:asciiTheme="minorEastAsia" w:hAnsiTheme="minorEastAsia"/>
          <w:b/>
          <w:sz w:val="32"/>
          <w:szCs w:val="32"/>
        </w:rPr>
      </w:pPr>
      <w:r>
        <w:rPr>
          <w:rFonts w:asciiTheme="minorEastAsia" w:hAnsiTheme="minorEastAsia"/>
          <w:b/>
          <w:sz w:val="32"/>
          <w:szCs w:val="32"/>
        </w:rPr>
        <w:tab/>
      </w:r>
      <w:r>
        <w:rPr>
          <w:rFonts w:ascii="宋体" w:hAnsi="宋体" w:eastAsia="宋体" w:cs="宋体"/>
          <w:sz w:val="24"/>
          <w:szCs w:val="24"/>
        </w:rPr>
        <w:t>本软件为具有图形用户界面（GUI）的科研型应用系统，面向多模态医学影像分析场景进行设计。系统通过可视化交互方式完成数据导入、模型推理、结果展示与分析，降低使用门槛，提升科研实验与算法验证过程的效率。</w:t>
      </w:r>
    </w:p>
    <w:p w14:paraId="06F85B89">
      <w:pPr>
        <w:spacing w:line="360" w:lineRule="auto"/>
        <w:rPr>
          <w:rFonts w:asciiTheme="minorEastAsia" w:hAnsiTheme="minorEastAsia"/>
          <w:b/>
          <w:sz w:val="32"/>
          <w:szCs w:val="32"/>
        </w:rPr>
      </w:pPr>
      <w:r>
        <w:rPr>
          <w:rFonts w:hint="eastAsia" w:asciiTheme="minorEastAsia" w:hAnsiTheme="minorEastAsia"/>
          <w:b/>
          <w:sz w:val="32"/>
          <w:szCs w:val="32"/>
        </w:rPr>
        <w:t>2.1软件需求概括</w:t>
      </w:r>
    </w:p>
    <w:p w14:paraId="1F4D7B53">
      <w:pPr>
        <w:spacing w:line="440" w:lineRule="exact"/>
        <w:rPr>
          <w:rFonts w:hint="eastAsia" w:asciiTheme="minorEastAsia" w:hAnsiTheme="minorEastAsia"/>
          <w:sz w:val="24"/>
          <w:szCs w:val="24"/>
        </w:rPr>
      </w:pPr>
      <w:r>
        <w:rPr>
          <w:rFonts w:asciiTheme="minorEastAsia" w:hAnsiTheme="minorEastAsia"/>
          <w:b/>
          <w:sz w:val="32"/>
          <w:szCs w:val="32"/>
        </w:rPr>
        <w:tab/>
      </w:r>
      <w:r>
        <w:rPr>
          <w:rFonts w:asciiTheme="minorEastAsia" w:hAnsiTheme="minorEastAsia"/>
          <w:sz w:val="24"/>
          <w:szCs w:val="24"/>
        </w:rPr>
        <w:t>本软件采用传统软件开发生命周期方法进行研发，涵盖需求分析、系统设计、编码实现、测试验证及运维优化全流程，确保软件功能稳定性与可扩展性。</w:t>
      </w:r>
    </w:p>
    <w:p w14:paraId="637FA154">
      <w:pPr>
        <w:spacing w:line="440" w:lineRule="exact"/>
        <w:rPr>
          <w:rFonts w:hint="eastAsia" w:asciiTheme="minorEastAsia" w:hAnsiTheme="minorEastAsia"/>
          <w:sz w:val="24"/>
          <w:szCs w:val="24"/>
        </w:rPr>
      </w:pPr>
      <w:r>
        <w:rPr>
          <w:rFonts w:asciiTheme="minorEastAsia" w:hAnsiTheme="minorEastAsia"/>
          <w:sz w:val="24"/>
          <w:szCs w:val="24"/>
        </w:rPr>
        <w:tab/>
      </w:r>
      <w:r>
        <w:rPr>
          <w:rFonts w:hint="eastAsia" w:asciiTheme="minorEastAsia" w:hAnsiTheme="minorEastAsia"/>
          <w:sz w:val="24"/>
          <w:szCs w:val="24"/>
        </w:rPr>
        <w:t>本软件主要有以下几方面的功能：</w:t>
      </w:r>
    </w:p>
    <w:p w14:paraId="487EEB30">
      <w:pPr>
        <w:pStyle w:val="19"/>
        <w:numPr>
          <w:ilvl w:val="0"/>
          <w:numId w:val="1"/>
        </w:numPr>
        <w:spacing w:line="440" w:lineRule="exact"/>
        <w:ind w:firstLineChars="0"/>
        <w:rPr>
          <w:rFonts w:asciiTheme="minorEastAsia" w:hAnsiTheme="minorEastAsia"/>
          <w:sz w:val="24"/>
          <w:szCs w:val="24"/>
        </w:rPr>
      </w:pPr>
      <w:r>
        <w:rPr>
          <w:rFonts w:asciiTheme="minorEastAsia" w:hAnsiTheme="minorEastAsia"/>
          <w:sz w:val="24"/>
          <w:szCs w:val="24"/>
        </w:rPr>
        <w:t>内镜图像与超声图像两种医学影像模态的数据导入与管理。</w:t>
      </w:r>
    </w:p>
    <w:p w14:paraId="4F85897C">
      <w:pPr>
        <w:pStyle w:val="19"/>
        <w:numPr>
          <w:ilvl w:val="0"/>
          <w:numId w:val="1"/>
        </w:numPr>
        <w:spacing w:line="440" w:lineRule="exact"/>
        <w:ind w:firstLineChars="0"/>
        <w:rPr>
          <w:rFonts w:asciiTheme="minorEastAsia" w:hAnsiTheme="minorEastAsia"/>
          <w:sz w:val="24"/>
          <w:szCs w:val="24"/>
        </w:rPr>
      </w:pPr>
      <w:r>
        <w:rPr>
          <w:rFonts w:hint="eastAsia" w:asciiTheme="minorEastAsia" w:hAnsiTheme="minorEastAsia"/>
          <w:sz w:val="24"/>
          <w:szCs w:val="24"/>
        </w:rPr>
        <w:t>支持多模态数据的协同处理与特征融合，实现食管鳞癌病变类型的自动识别</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同时也支持单模态处理与识别</w:t>
      </w:r>
      <w:r>
        <w:rPr>
          <w:rFonts w:asciiTheme="minorEastAsia" w:hAnsiTheme="minorEastAsia"/>
          <w:sz w:val="24"/>
          <w:szCs w:val="24"/>
        </w:rPr>
        <w:t>。</w:t>
      </w:r>
    </w:p>
    <w:p w14:paraId="0F489C0A">
      <w:pPr>
        <w:pStyle w:val="19"/>
        <w:numPr>
          <w:ilvl w:val="0"/>
          <w:numId w:val="1"/>
        </w:numPr>
        <w:spacing w:line="440" w:lineRule="exact"/>
        <w:ind w:firstLineChars="0"/>
        <w:rPr>
          <w:rFonts w:asciiTheme="minorEastAsia" w:hAnsiTheme="minorEastAsia"/>
          <w:sz w:val="24"/>
          <w:szCs w:val="24"/>
        </w:rPr>
      </w:pPr>
      <w:r>
        <w:rPr>
          <w:rFonts w:hint="eastAsia" w:asciiTheme="minorEastAsia" w:hAnsiTheme="minorEastAsia"/>
          <w:sz w:val="24"/>
          <w:szCs w:val="24"/>
        </w:rPr>
        <w:t>提供直观友好的图形用户界面，实现科研人员对实验流程与识别结果的可视化操作与分析</w:t>
      </w:r>
      <w:r>
        <w:rPr>
          <w:rFonts w:asciiTheme="minorEastAsia" w:hAnsiTheme="minorEastAsia"/>
          <w:sz w:val="24"/>
          <w:szCs w:val="24"/>
        </w:rPr>
        <w:t>。</w:t>
      </w:r>
    </w:p>
    <w:p w14:paraId="4F2FA11F">
      <w:pPr>
        <w:pStyle w:val="19"/>
        <w:numPr>
          <w:ilvl w:val="0"/>
          <w:numId w:val="1"/>
        </w:numPr>
        <w:spacing w:line="440" w:lineRule="exact"/>
        <w:ind w:firstLineChars="0"/>
        <w:rPr>
          <w:rFonts w:hint="eastAsia" w:asciiTheme="minorEastAsia" w:hAnsiTheme="minorEastAsia"/>
          <w:sz w:val="24"/>
          <w:szCs w:val="24"/>
        </w:rPr>
      </w:pPr>
      <w:r>
        <w:rPr>
          <w:rFonts w:hint="eastAsia" w:asciiTheme="minorEastAsia" w:hAnsiTheme="minorEastAsia"/>
          <w:sz w:val="24"/>
          <w:szCs w:val="24"/>
        </w:rPr>
        <w:t>支持识别结果的展示、对比与保存，便于科研实验记录与结果复现</w:t>
      </w:r>
      <w:r>
        <w:rPr>
          <w:rFonts w:asciiTheme="minorEastAsia" w:hAnsiTheme="minorEastAsia"/>
          <w:sz w:val="24"/>
          <w:szCs w:val="24"/>
        </w:rPr>
        <w:t>。</w:t>
      </w:r>
    </w:p>
    <w:p w14:paraId="5A8B65CA">
      <w:pPr>
        <w:pStyle w:val="19"/>
        <w:numPr>
          <w:ilvl w:val="0"/>
          <w:numId w:val="1"/>
        </w:numPr>
        <w:spacing w:line="440" w:lineRule="exact"/>
        <w:ind w:firstLineChars="0"/>
        <w:rPr>
          <w:rFonts w:hint="eastAsia" w:asciiTheme="minorEastAsia" w:hAnsiTheme="minorEastAsia"/>
          <w:sz w:val="24"/>
          <w:szCs w:val="24"/>
        </w:rPr>
      </w:pPr>
      <w:r>
        <w:rPr>
          <w:rFonts w:ascii="宋体" w:hAnsi="宋体" w:eastAsia="宋体" w:cs="宋体"/>
          <w:sz w:val="24"/>
          <w:szCs w:val="24"/>
        </w:rPr>
        <w:t>支持病灶区域分析与热力图可视化展示，通过热力图形式对医学影像中的病灶区域进行高亮标注，辅助科研人员直观分析病变区域分布特征。</w:t>
      </w:r>
    </w:p>
    <w:p w14:paraId="627916AA">
      <w:pPr>
        <w:spacing w:line="360" w:lineRule="auto"/>
        <w:rPr>
          <w:rFonts w:asciiTheme="minorEastAsia" w:hAnsiTheme="minorEastAsia"/>
          <w:b/>
          <w:sz w:val="32"/>
          <w:szCs w:val="32"/>
        </w:rPr>
      </w:pPr>
      <w:r>
        <w:rPr>
          <w:rFonts w:hint="eastAsia" w:asciiTheme="minorEastAsia" w:hAnsiTheme="minorEastAsia"/>
          <w:b/>
          <w:sz w:val="32"/>
          <w:szCs w:val="32"/>
        </w:rPr>
        <w:t>2.2</w:t>
      </w:r>
      <w:r>
        <w:rPr>
          <w:rFonts w:asciiTheme="minorEastAsia" w:hAnsiTheme="minorEastAsia"/>
          <w:b/>
          <w:sz w:val="32"/>
          <w:szCs w:val="32"/>
        </w:rPr>
        <w:t>术语定义</w:t>
      </w:r>
    </w:p>
    <w:p w14:paraId="6C8AC4A7">
      <w:pPr>
        <w:spacing w:line="440" w:lineRule="exact"/>
        <w:ind w:firstLine="480" w:firstLineChars="200"/>
        <w:rPr>
          <w:rFonts w:asciiTheme="minorEastAsia" w:hAnsiTheme="minorEastAsia"/>
          <w:sz w:val="24"/>
          <w:szCs w:val="24"/>
        </w:rPr>
      </w:pPr>
      <w:r>
        <w:rPr>
          <w:rFonts w:ascii="宋体" w:hAnsi="宋体" w:eastAsia="宋体" w:cs="宋体"/>
          <w:sz w:val="24"/>
          <w:szCs w:val="24"/>
        </w:rPr>
        <w:t>系统：本系统或该系统，均指《基于多模态的食管鳞癌病变类型识别系统 V1.0》。</w:t>
      </w:r>
    </w:p>
    <w:p w14:paraId="22A718C8">
      <w:pPr>
        <w:spacing w:line="440" w:lineRule="exact"/>
        <w:ind w:firstLine="480" w:firstLineChars="200"/>
        <w:rPr>
          <w:rFonts w:hint="eastAsia" w:asciiTheme="minorEastAsia" w:hAnsiTheme="minorEastAsia"/>
          <w:sz w:val="24"/>
          <w:szCs w:val="24"/>
        </w:rPr>
      </w:pPr>
      <w:r>
        <w:rPr>
          <w:rFonts w:hint="eastAsia" w:asciiTheme="minorEastAsia" w:hAnsiTheme="minorEastAsia"/>
          <w:sz w:val="24"/>
          <w:szCs w:val="24"/>
        </w:rPr>
        <w:t>用户：指使用本系统的人，包括但不限于个人用户、企业用户和研究机构用户，以及所有使用本系统进行柑橘计数和相关操作的个体或组织。</w:t>
      </w:r>
    </w:p>
    <w:p w14:paraId="53D0F43C">
      <w:pPr>
        <w:spacing w:line="440" w:lineRule="exact"/>
        <w:ind w:firstLine="480" w:firstLineChars="200"/>
        <w:rPr>
          <w:rFonts w:ascii="宋体" w:hAnsi="宋体" w:eastAsia="宋体" w:cs="宋体"/>
          <w:sz w:val="24"/>
          <w:szCs w:val="24"/>
        </w:rPr>
      </w:pPr>
      <w:r>
        <w:rPr>
          <w:rFonts w:ascii="宋体" w:hAnsi="宋体" w:eastAsia="宋体" w:cs="宋体"/>
          <w:sz w:val="24"/>
          <w:szCs w:val="24"/>
        </w:rPr>
        <w:t>内镜图像：指通过内镜设备采集的食管内部图像数据，用于表征病变表面形态特征。</w:t>
      </w:r>
    </w:p>
    <w:p w14:paraId="572AF771">
      <w:pPr>
        <w:spacing w:line="440" w:lineRule="exact"/>
        <w:ind w:firstLine="480" w:firstLineChars="200"/>
        <w:rPr>
          <w:rFonts w:ascii="宋体" w:hAnsi="宋体" w:eastAsia="宋体" w:cs="宋体"/>
          <w:sz w:val="24"/>
          <w:szCs w:val="24"/>
        </w:rPr>
      </w:pPr>
      <w:r>
        <w:rPr>
          <w:rFonts w:ascii="宋体" w:hAnsi="宋体" w:eastAsia="宋体" w:cs="宋体"/>
          <w:sz w:val="24"/>
          <w:szCs w:val="24"/>
        </w:rPr>
        <w:t>超声图像：指通过超声成像技术获取的食管组织结构图像，用于反映病变的内部组织特征。</w:t>
      </w:r>
    </w:p>
    <w:p w14:paraId="2CC45A23">
      <w:pPr>
        <w:spacing w:line="440" w:lineRule="exact"/>
        <w:ind w:firstLine="480" w:firstLineChars="200"/>
        <w:rPr>
          <w:rFonts w:hint="eastAsia" w:ascii="宋体" w:hAnsi="宋体" w:eastAsia="宋体" w:cs="宋体"/>
          <w:sz w:val="24"/>
          <w:szCs w:val="24"/>
          <w:lang w:val="en-US" w:eastAsia="zh-CN"/>
        </w:rPr>
      </w:pPr>
      <w:r>
        <w:rPr>
          <w:rFonts w:ascii="宋体" w:hAnsi="宋体" w:eastAsia="宋体" w:cs="宋体"/>
          <w:sz w:val="24"/>
          <w:szCs w:val="24"/>
        </w:rPr>
        <w:t>多模态融合：指对来自不同成像模态的数据进行联合建模与特征融合的过程，以提升病变识别的综合性能</w:t>
      </w:r>
    </w:p>
    <w:p w14:paraId="77AFBFF6">
      <w:pPr>
        <w:spacing w:line="360" w:lineRule="auto"/>
        <w:rPr>
          <w:rFonts w:asciiTheme="minorEastAsia" w:hAnsiTheme="minorEastAsia"/>
          <w:b/>
          <w:sz w:val="32"/>
          <w:szCs w:val="32"/>
        </w:rPr>
      </w:pPr>
      <w:r>
        <w:rPr>
          <w:rFonts w:hint="eastAsia" w:asciiTheme="minorEastAsia" w:hAnsiTheme="minorEastAsia"/>
          <w:b/>
          <w:sz w:val="32"/>
          <w:szCs w:val="32"/>
        </w:rPr>
        <w:t>2.3</w:t>
      </w:r>
      <w:r>
        <w:rPr>
          <w:rFonts w:asciiTheme="minorEastAsia" w:hAnsiTheme="minorEastAsia"/>
          <w:b/>
          <w:sz w:val="32"/>
          <w:szCs w:val="32"/>
        </w:rPr>
        <w:t>核心需求概述</w:t>
      </w:r>
    </w:p>
    <w:p w14:paraId="1A8F036E">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（1）</w:t>
      </w:r>
      <w:r>
        <w:rPr>
          <w:rFonts w:ascii="宋体" w:hAnsi="宋体" w:eastAsia="宋体" w:cs="宋体"/>
          <w:sz w:val="24"/>
          <w:szCs w:val="24"/>
        </w:rPr>
        <w:t>准确性：系统应能够基于多模态影像信息，对食管鳞癌病变类型进行稳定、可靠的识别，为科研分析提供可信结果；</w:t>
      </w:r>
    </w:p>
    <w:p w14:paraId="38FB90F9">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（2）</w:t>
      </w:r>
      <w:r>
        <w:rPr>
          <w:rFonts w:ascii="宋体" w:hAnsi="宋体" w:eastAsia="宋体" w:cs="宋体"/>
          <w:sz w:val="24"/>
          <w:szCs w:val="24"/>
        </w:rPr>
        <w:t>可视化：系统应通过图形界面直观展示输入影像、识别过程及识别结果，便于用户进行分析与对比；</w:t>
      </w:r>
    </w:p>
    <w:p w14:paraId="089E4E28">
      <w:pPr>
        <w:spacing w:line="440" w:lineRule="exact"/>
        <w:ind w:firstLine="480" w:firstLineChars="200"/>
        <w:rPr>
          <w:rFonts w:ascii="宋体" w:hAnsi="宋体" w:eastAsia="宋体" w:cs="宋体"/>
          <w:sz w:val="24"/>
          <w:szCs w:val="24"/>
        </w:rPr>
      </w:pPr>
      <w:r>
        <w:rPr>
          <w:rFonts w:hint="eastAsia" w:asciiTheme="minorEastAsia" w:hAnsiTheme="minorEastAsia"/>
          <w:sz w:val="24"/>
          <w:szCs w:val="24"/>
        </w:rPr>
        <w:t>（3）</w:t>
      </w:r>
      <w:r>
        <w:rPr>
          <w:rFonts w:ascii="宋体" w:hAnsi="宋体" w:eastAsia="宋体" w:cs="宋体"/>
          <w:sz w:val="24"/>
          <w:szCs w:val="24"/>
        </w:rPr>
        <w:t>易用性：系统操作流程清晰，交互方式友好，科研人员无需复杂编程操作即可完成实验流程。</w:t>
      </w:r>
    </w:p>
    <w:p w14:paraId="6105E397">
      <w:pPr>
        <w:spacing w:line="440" w:lineRule="exact"/>
        <w:ind w:firstLine="480" w:firstLineChars="200"/>
        <w:rPr>
          <w:rFonts w:hint="eastAsia" w:ascii="宋体" w:hAnsi="宋体" w:eastAsia="宋体" w:cs="宋体"/>
          <w:sz w:val="24"/>
          <w:szCs w:val="24"/>
        </w:rPr>
      </w:pPr>
      <w:bookmarkStart w:id="5" w:name="_GoBack"/>
      <w:bookmarkEnd w:id="5"/>
    </w:p>
    <w:p w14:paraId="43BD734F">
      <w:pPr>
        <w:spacing w:line="360" w:lineRule="auto"/>
        <w:rPr>
          <w:rFonts w:asciiTheme="minorEastAsia" w:hAnsiTheme="minorEastAsia"/>
          <w:b/>
          <w:sz w:val="32"/>
          <w:szCs w:val="32"/>
        </w:rPr>
      </w:pPr>
      <w:r>
        <w:rPr>
          <w:rFonts w:hint="eastAsia" w:asciiTheme="minorEastAsia" w:hAnsiTheme="minorEastAsia"/>
          <w:b/>
          <w:sz w:val="32"/>
          <w:szCs w:val="32"/>
        </w:rPr>
        <w:t>2.4</w:t>
      </w:r>
      <w:r>
        <w:rPr>
          <w:rFonts w:asciiTheme="minorEastAsia" w:hAnsiTheme="minorEastAsia"/>
          <w:b/>
          <w:sz w:val="32"/>
          <w:szCs w:val="32"/>
        </w:rPr>
        <w:t>运行</w:t>
      </w:r>
      <w:r>
        <w:rPr>
          <w:rFonts w:hint="eastAsia" w:asciiTheme="minorEastAsia" w:hAnsiTheme="minorEastAsia"/>
          <w:b/>
          <w:sz w:val="32"/>
          <w:szCs w:val="32"/>
        </w:rPr>
        <w:t>条件与限制</w:t>
      </w:r>
    </w:p>
    <w:p w14:paraId="7E8C16DF">
      <w:pPr>
        <w:spacing w:line="360" w:lineRule="auto"/>
        <w:rPr>
          <w:rFonts w:asciiTheme="minorEastAsia" w:hAnsiTheme="minorEastAsia"/>
          <w:b/>
          <w:sz w:val="24"/>
          <w:szCs w:val="24"/>
        </w:rPr>
      </w:pPr>
      <w:r>
        <w:rPr>
          <w:rFonts w:hint="eastAsia" w:asciiTheme="minorEastAsia" w:hAnsiTheme="minorEastAsia"/>
          <w:b/>
          <w:sz w:val="24"/>
          <w:szCs w:val="24"/>
        </w:rPr>
        <w:t>1）硬件环境</w:t>
      </w:r>
    </w:p>
    <w:p w14:paraId="5F5655F5">
      <w:pPr>
        <w:spacing w:line="440" w:lineRule="exact"/>
        <w:ind w:firstLine="482" w:firstLineChars="200"/>
        <w:rPr>
          <w:rFonts w:asciiTheme="minorEastAsia" w:hAnsiTheme="minorEastAsia"/>
          <w:b/>
          <w:bCs/>
          <w:sz w:val="24"/>
          <w:szCs w:val="24"/>
        </w:rPr>
      </w:pPr>
      <w:r>
        <w:rPr>
          <w:rFonts w:hint="eastAsia" w:asciiTheme="minorEastAsia" w:hAnsiTheme="minorEastAsia"/>
          <w:b/>
          <w:bCs/>
          <w:sz w:val="24"/>
          <w:szCs w:val="24"/>
        </w:rPr>
        <w:t>最低配置：</w:t>
      </w:r>
    </w:p>
    <w:p w14:paraId="0E2C760B">
      <w:pPr>
        <w:spacing w:line="440" w:lineRule="exact"/>
        <w:ind w:firstLine="480" w:firstLineChars="200"/>
        <w:rPr>
          <w:rFonts w:hint="eastAsia" w:asciiTheme="minorEastAsia" w:hAnsiTheme="minorEastAsia"/>
          <w:sz w:val="24"/>
          <w:szCs w:val="24"/>
        </w:rPr>
      </w:pPr>
      <w:r>
        <w:rPr>
          <w:rFonts w:hint="eastAsia" w:asciiTheme="minorEastAsia" w:hAnsiTheme="minorEastAsia"/>
          <w:sz w:val="24"/>
          <w:szCs w:val="24"/>
        </w:rPr>
        <w:t xml:space="preserve">处理器： Intel Pentium III / AMD Athlon </w:t>
      </w:r>
      <w:r>
        <w:rPr>
          <w:rFonts w:asciiTheme="minorEastAsia" w:hAnsiTheme="minorEastAsia"/>
          <w:sz w:val="24"/>
          <w:szCs w:val="24"/>
        </w:rPr>
        <w:t>及以上同级处理器</w:t>
      </w:r>
    </w:p>
    <w:p w14:paraId="5AB935E6">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 xml:space="preserve">内存： </w:t>
      </w:r>
      <w:r>
        <w:rPr>
          <w:rFonts w:asciiTheme="minorEastAsia" w:hAnsiTheme="minorEastAsia"/>
          <w:sz w:val="24"/>
          <w:szCs w:val="24"/>
        </w:rPr>
        <w:t>1G</w:t>
      </w:r>
      <w:r>
        <w:rPr>
          <w:rFonts w:hint="eastAsia" w:asciiTheme="minorEastAsia" w:hAnsiTheme="minorEastAsia"/>
          <w:sz w:val="24"/>
          <w:szCs w:val="24"/>
        </w:rPr>
        <w:t xml:space="preserve"> MB RAM</w:t>
      </w:r>
    </w:p>
    <w:p w14:paraId="0E559159">
      <w:pPr>
        <w:spacing w:line="440" w:lineRule="exact"/>
        <w:ind w:firstLine="480" w:firstLineChars="200"/>
        <w:rPr>
          <w:rFonts w:hint="eastAsia" w:asciiTheme="minorEastAsia" w:hAnsiTheme="minorEastAsia"/>
          <w:sz w:val="24"/>
          <w:szCs w:val="24"/>
        </w:rPr>
      </w:pPr>
      <w:r>
        <w:rPr>
          <w:rFonts w:hint="eastAsia" w:asciiTheme="minorEastAsia" w:hAnsiTheme="minorEastAsia"/>
          <w:sz w:val="24"/>
          <w:szCs w:val="24"/>
        </w:rPr>
        <w:t xml:space="preserve">硬盘： </w:t>
      </w:r>
      <w:r>
        <w:rPr>
          <w:rFonts w:asciiTheme="minorEastAsia" w:hAnsiTheme="minorEastAsia"/>
          <w:sz w:val="24"/>
          <w:szCs w:val="24"/>
        </w:rPr>
        <w:t>256 GB</w:t>
      </w:r>
      <w:r>
        <w:rPr>
          <w:rFonts w:hint="eastAsia" w:asciiTheme="minorEastAsia" w:hAnsiTheme="minorEastAsia"/>
          <w:sz w:val="24"/>
          <w:szCs w:val="24"/>
        </w:rPr>
        <w:t xml:space="preserve"> 空闲硬盘空间</w:t>
      </w:r>
    </w:p>
    <w:p w14:paraId="03B5C02E">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显示卡：</w:t>
      </w:r>
      <w:r>
        <w:rPr>
          <w:rFonts w:asciiTheme="minorEastAsia" w:hAnsiTheme="minorEastAsia"/>
          <w:sz w:val="24"/>
          <w:szCs w:val="24"/>
        </w:rPr>
        <w:t>支持1024×768分辨率的高彩色显示适配器</w:t>
      </w:r>
    </w:p>
    <w:p w14:paraId="6E9A44B4">
      <w:pPr>
        <w:spacing w:line="440" w:lineRule="exact"/>
        <w:ind w:firstLine="482" w:firstLineChars="200"/>
        <w:rPr>
          <w:rFonts w:asciiTheme="minorEastAsia" w:hAnsiTheme="minorEastAsia"/>
          <w:b/>
          <w:bCs/>
          <w:sz w:val="24"/>
          <w:szCs w:val="24"/>
        </w:rPr>
      </w:pPr>
      <w:r>
        <w:rPr>
          <w:rFonts w:hint="eastAsia" w:asciiTheme="minorEastAsia" w:hAnsiTheme="minorEastAsia"/>
          <w:b/>
          <w:bCs/>
          <w:sz w:val="24"/>
          <w:szCs w:val="24"/>
        </w:rPr>
        <w:t>建议配置：</w:t>
      </w:r>
    </w:p>
    <w:p w14:paraId="2F4A9CBC">
      <w:pPr>
        <w:spacing w:line="440" w:lineRule="exact"/>
        <w:ind w:firstLine="480" w:firstLineChars="200"/>
        <w:rPr>
          <w:rFonts w:hint="eastAsia" w:asciiTheme="minorEastAsia" w:hAnsiTheme="minorEastAsia"/>
          <w:sz w:val="24"/>
          <w:szCs w:val="24"/>
        </w:rPr>
      </w:pPr>
      <w:r>
        <w:rPr>
          <w:rFonts w:hint="eastAsia" w:asciiTheme="minorEastAsia" w:hAnsiTheme="minorEastAsia"/>
          <w:sz w:val="24"/>
          <w:szCs w:val="24"/>
        </w:rPr>
        <w:t>处理器：</w:t>
      </w:r>
      <w:r>
        <w:rPr>
          <w:rFonts w:asciiTheme="minorEastAsia" w:hAnsiTheme="minorEastAsia"/>
          <w:sz w:val="24"/>
          <w:szCs w:val="24"/>
        </w:rPr>
        <w:t>Intel(R) Core(TM) i3-9100F CPU @ 3.60GHz 及以上同级处理器</w:t>
      </w:r>
    </w:p>
    <w:p w14:paraId="5C6BAF23">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内存： 1</w:t>
      </w:r>
      <w:r>
        <w:rPr>
          <w:rFonts w:asciiTheme="minorEastAsia" w:hAnsiTheme="minorEastAsia"/>
          <w:sz w:val="24"/>
          <w:szCs w:val="24"/>
        </w:rPr>
        <w:t>6</w:t>
      </w:r>
      <w:r>
        <w:rPr>
          <w:rFonts w:hint="eastAsia" w:asciiTheme="minorEastAsia" w:hAnsiTheme="minorEastAsia"/>
          <w:sz w:val="24"/>
          <w:szCs w:val="24"/>
        </w:rPr>
        <w:t>GB RAM</w:t>
      </w:r>
    </w:p>
    <w:p w14:paraId="2A2ABF90">
      <w:pPr>
        <w:spacing w:line="440" w:lineRule="exact"/>
        <w:ind w:firstLine="480" w:firstLineChars="200"/>
        <w:rPr>
          <w:rFonts w:hint="eastAsia" w:asciiTheme="minorEastAsia" w:hAnsiTheme="minorEastAsia"/>
          <w:sz w:val="24"/>
          <w:szCs w:val="24"/>
        </w:rPr>
      </w:pPr>
      <w:r>
        <w:rPr>
          <w:rFonts w:hint="eastAsia" w:asciiTheme="minorEastAsia" w:hAnsiTheme="minorEastAsia"/>
          <w:sz w:val="24"/>
          <w:szCs w:val="24"/>
        </w:rPr>
        <w:t xml:space="preserve">硬盘： </w:t>
      </w:r>
      <w:r>
        <w:rPr>
          <w:rFonts w:asciiTheme="minorEastAsia" w:hAnsiTheme="minorEastAsia"/>
          <w:sz w:val="24"/>
          <w:szCs w:val="24"/>
        </w:rPr>
        <w:t>512GB及以上空闲存储空间（推荐固态硬盘，提升视频读取速度）</w:t>
      </w:r>
    </w:p>
    <w:p w14:paraId="146B6DC4">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显示卡：</w:t>
      </w:r>
      <w:r>
        <w:rPr>
          <w:rFonts w:asciiTheme="minorEastAsia" w:hAnsiTheme="minorEastAsia"/>
          <w:sz w:val="24"/>
          <w:szCs w:val="24"/>
        </w:rPr>
        <w:t>支持1024×768及以上分辨率的高彩色显示适配器，具备基础图形渲染能力即可</w:t>
      </w:r>
    </w:p>
    <w:p w14:paraId="7DAB2B82">
      <w:pPr>
        <w:spacing w:line="440" w:lineRule="exact"/>
        <w:ind w:firstLine="482" w:firstLineChars="200"/>
        <w:rPr>
          <w:rFonts w:asciiTheme="minorEastAsia" w:hAnsiTheme="minorEastAsia"/>
          <w:sz w:val="24"/>
          <w:szCs w:val="24"/>
        </w:rPr>
      </w:pPr>
      <w:r>
        <w:rPr>
          <w:rFonts w:hint="eastAsia" w:asciiTheme="minorEastAsia" w:hAnsiTheme="minorEastAsia"/>
          <w:b/>
          <w:sz w:val="24"/>
          <w:szCs w:val="24"/>
        </w:rPr>
        <w:t>2）软件环境</w:t>
      </w:r>
    </w:p>
    <w:p w14:paraId="42D2DAB1">
      <w:pPr>
        <w:spacing w:line="440" w:lineRule="exact"/>
        <w:ind w:firstLine="480" w:firstLineChars="200"/>
        <w:rPr>
          <w:rFonts w:asciiTheme="minorEastAsia" w:hAnsiTheme="minorEastAsia"/>
          <w:sz w:val="24"/>
          <w:szCs w:val="24"/>
        </w:rPr>
      </w:pPr>
      <w:r>
        <w:rPr>
          <w:rFonts w:hint="eastAsia" w:asciiTheme="minorEastAsia" w:hAnsiTheme="minorEastAsia"/>
          <w:sz w:val="24"/>
          <w:szCs w:val="24"/>
        </w:rPr>
        <w:t>操作系统：</w:t>
      </w:r>
      <w:r>
        <w:rPr>
          <w:rFonts w:asciiTheme="minorEastAsia" w:hAnsiTheme="minorEastAsia"/>
          <w:sz w:val="24"/>
          <w:szCs w:val="24"/>
        </w:rPr>
        <w:t xml:space="preserve">Windows </w:t>
      </w:r>
      <w:r>
        <w:rPr>
          <w:rFonts w:hint="eastAsia" w:asciiTheme="minorEastAsia" w:hAnsiTheme="minorEastAsia"/>
          <w:sz w:val="24"/>
          <w:szCs w:val="24"/>
          <w:lang w:val="en-US" w:eastAsia="zh-CN"/>
        </w:rPr>
        <w:t>10</w:t>
      </w:r>
      <w:r>
        <w:rPr>
          <w:rFonts w:asciiTheme="minorEastAsia" w:hAnsiTheme="minorEastAsia"/>
          <w:sz w:val="24"/>
          <w:szCs w:val="24"/>
        </w:rPr>
        <w:t>（64位）</w:t>
      </w:r>
    </w:p>
    <w:p w14:paraId="7AC1FF22">
      <w:pPr>
        <w:spacing w:line="440" w:lineRule="exact"/>
        <w:ind w:firstLine="480" w:firstLineChars="200"/>
        <w:rPr>
          <w:rFonts w:hint="eastAsia" w:asciiTheme="minorEastAsia" w:hAnsiTheme="minorEastAsia"/>
          <w:sz w:val="24"/>
          <w:szCs w:val="24"/>
        </w:rPr>
      </w:pPr>
      <w:r>
        <w:rPr>
          <w:rFonts w:hint="eastAsia" w:asciiTheme="minorEastAsia" w:hAnsiTheme="minorEastAsia"/>
          <w:sz w:val="24"/>
          <w:szCs w:val="24"/>
        </w:rPr>
        <w:t>建议配置：</w:t>
      </w:r>
      <w:r>
        <w:rPr>
          <w:rFonts w:asciiTheme="minorEastAsia" w:hAnsiTheme="minorEastAsia"/>
          <w:sz w:val="24"/>
          <w:szCs w:val="24"/>
        </w:rPr>
        <w:t>操作系统为Windows 10（64位）及以上版本、macOS 10.14及以上版本，保障软件兼容性与运行稳定性。</w:t>
      </w:r>
    </w:p>
    <w:p w14:paraId="5113B82E">
      <w:pPr>
        <w:spacing w:line="440" w:lineRule="exact"/>
      </w:pPr>
      <w:r>
        <w:rPr>
          <w:rFonts w:hint="eastAsia" w:asciiTheme="minorEastAsia" w:hAnsiTheme="minorEastAsia"/>
          <w:b/>
          <w:sz w:val="32"/>
          <w:szCs w:val="32"/>
        </w:rPr>
        <w:t>2.5总体结构</w:t>
      </w:r>
    </w:p>
    <w:p w14:paraId="25D86289">
      <w:pPr>
        <w:pStyle w:val="9"/>
        <w:keepNext w:val="0"/>
        <w:keepLines w:val="0"/>
        <w:widowControl/>
        <w:suppressLineNumbers w:val="0"/>
      </w:pPr>
      <w:r>
        <w:t>本系统采用模块化分层架构设计，</w:t>
      </w:r>
      <w:r>
        <w:rPr>
          <w:rFonts w:hint="eastAsia"/>
          <w:lang w:val="en-US" w:eastAsia="zh-CN"/>
        </w:rPr>
        <w:t>如图1所示。</w:t>
      </w:r>
      <w:r>
        <w:t>各功能模块相对独立、协同工作，便于科研扩展与功能升级。系统总体结构主要包括以下层级：</w:t>
      </w:r>
    </w:p>
    <w:p w14:paraId="4020A0C8">
      <w:pPr>
        <w:pStyle w:val="9"/>
        <w:keepNext w:val="0"/>
        <w:keepLines w:val="0"/>
        <w:widowControl/>
        <w:suppressLineNumbers w:val="0"/>
      </w:pPr>
      <w:r>
        <w:t>数据</w:t>
      </w:r>
      <w:r>
        <w:rPr>
          <w:rFonts w:hint="eastAsia"/>
          <w:lang w:val="en-US" w:eastAsia="zh-CN"/>
        </w:rPr>
        <w:t>整理</w:t>
      </w:r>
      <w:r>
        <w:t>：负责内镜图像与超声图像等原始数据的导入、存储与基本管理，为后续处理提供统一的数据接口；</w:t>
      </w:r>
    </w:p>
    <w:p w14:paraId="19CA8F99">
      <w:pPr>
        <w:pStyle w:val="9"/>
        <w:keepNext w:val="0"/>
        <w:keepLines w:val="0"/>
        <w:widowControl/>
        <w:suppressLineNumbers w:val="0"/>
      </w:pPr>
      <w:r>
        <w:t>预处理：对不同模态影像数据进行格式规范化、尺寸调整及必要的图像预处理操作，提高数据质量；</w:t>
      </w:r>
    </w:p>
    <w:p w14:paraId="3C1A4271">
      <w:pPr>
        <w:pStyle w:val="9"/>
        <w:keepNext w:val="0"/>
        <w:keepLines w:val="0"/>
        <w:widowControl/>
        <w:suppressLineNumbers w:val="0"/>
      </w:pPr>
      <w:r>
        <w:t>特征提取与融合：分别对内镜图像与超声图像进行特征提取，并通过多模态融合策略形成统一特征表达；</w:t>
      </w:r>
    </w:p>
    <w:p w14:paraId="546BE42A">
      <w:pPr>
        <w:pStyle w:val="9"/>
        <w:keepNext w:val="0"/>
        <w:keepLines w:val="0"/>
        <w:widowControl/>
        <w:suppressLineNumbers w:val="0"/>
      </w:pPr>
      <w:r>
        <w:rPr>
          <w:rFonts w:hint="eastAsia"/>
          <w:lang w:val="en-US" w:eastAsia="zh-CN"/>
        </w:rPr>
        <w:t>病灶类型</w:t>
      </w:r>
      <w:r>
        <w:t>识别：基于融合特征完成食管鳞癌病变类型的自动识别与判别，输出分类结果；</w:t>
      </w:r>
    </w:p>
    <w:p w14:paraId="62E7E988">
      <w:pPr>
        <w:pStyle w:val="9"/>
        <w:keepNext w:val="0"/>
        <w:keepLines w:val="0"/>
        <w:widowControl/>
        <w:suppressLineNumbers w:val="0"/>
      </w:pPr>
      <w:r>
        <w:rPr>
          <w:rFonts w:hint="eastAsia" w:ascii="宋体" w:hAnsi="宋体" w:eastAsia="宋体" w:cs="宋体"/>
          <w:sz w:val="24"/>
          <w:szCs w:val="24"/>
          <w:lang w:val="en-US" w:eastAsia="zh-CN"/>
        </w:rPr>
        <w:t>病灶区域</w:t>
      </w:r>
      <w:r>
        <w:rPr>
          <w:rFonts w:ascii="宋体" w:hAnsi="宋体" w:eastAsia="宋体" w:cs="宋体"/>
          <w:sz w:val="24"/>
          <w:szCs w:val="24"/>
        </w:rPr>
        <w:t>分析：基于识别分析层的模型输出，对与病变判别相关的关键区域进行分析，生成病灶区域关注结果，并以热力图形式对内镜图像或超声图像中的病灶区域进行高亮标注，用于提升模型决策过程的可解释性与科研分析价值；</w:t>
      </w:r>
    </w:p>
    <w:p w14:paraId="1FC86B04">
      <w:pPr>
        <w:pStyle w:val="9"/>
        <w:keepNext w:val="0"/>
        <w:keepLines w:val="0"/>
        <w:widowControl/>
        <w:suppressLineNumbers w:val="0"/>
        <w:rPr>
          <w:rFonts w:asciiTheme="minorEastAsia" w:hAnsiTheme="minorEastAsia"/>
          <w:b/>
          <w:sz w:val="32"/>
          <w:szCs w:val="32"/>
        </w:rPr>
      </w:pPr>
      <w:r>
        <w:rPr>
          <w:rFonts w:hint="eastAsia"/>
          <w:lang w:val="en-US" w:eastAsia="zh-CN"/>
        </w:rPr>
        <w:t>可视化界面</w:t>
      </w:r>
      <w:r>
        <w:t>：通过图形用户界面对输入数据、识别过程及识别结果进行可视化展示，并支持结果保存与导出。</w:t>
      </w:r>
    </w:p>
    <w:p w14:paraId="46355702">
      <w:pPr>
        <w:spacing w:line="360" w:lineRule="auto"/>
        <w:rPr>
          <w:rFonts w:asciiTheme="minorEastAsia" w:hAnsiTheme="minorEastAsia"/>
          <w:b/>
          <w:sz w:val="32"/>
          <w:szCs w:val="32"/>
        </w:rPr>
      </w:pPr>
      <w:r>
        <w:rPr>
          <w:rFonts w:asciiTheme="minorEastAsia" w:hAnsiTheme="minorEastAsia"/>
          <w:b/>
          <w:sz w:val="32"/>
          <w:szCs w:val="32"/>
        </w:rPr>
        <w:object>
          <v:shape id="_x0000_i1025" o:spt="75" type="#_x0000_t75" style="height:243.6pt;width:414.95pt;" o:ole="t" filled="f" o:preferrelative="t" stroked="f" coordsize="21600,21600">
            <v:path/>
            <v:fill on="f" focussize="0,0"/>
            <v:stroke on="f"/>
            <v:imagedata r:id="rId6" o:title=""/>
            <o:lock v:ext="edit" aspectratio="f"/>
            <w10:wrap type="none"/>
            <w10:anchorlock/>
          </v:shape>
          <o:OLEObject Type="Embed" ProgID="Visio.Drawing.15" ShapeID="_x0000_i1025" DrawAspect="Content" ObjectID="_1468075725" r:id="rId5">
            <o:LockedField>false</o:LockedField>
          </o:OLEObject>
        </w:object>
      </w:r>
    </w:p>
    <w:p w14:paraId="45A110DF">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asciiTheme="minorEastAsia" w:hAnsiTheme="minorEastAsia"/>
          <w:b w:val="0"/>
          <w:bCs/>
          <w:sz w:val="21"/>
          <w:szCs w:val="21"/>
        </w:rPr>
      </w:pPr>
      <w:r>
        <w:rPr>
          <w:rFonts w:hint="eastAsia" w:asciiTheme="minorEastAsia" w:hAnsiTheme="minorEastAsia"/>
          <w:b w:val="0"/>
          <w:bCs/>
          <w:sz w:val="21"/>
          <w:szCs w:val="21"/>
        </w:rPr>
        <w:t>图1</w:t>
      </w:r>
      <w:r>
        <w:rPr>
          <w:rFonts w:hint="eastAsia" w:asciiTheme="minorEastAsia" w:hAnsiTheme="minorEastAsia"/>
          <w:b w:val="0"/>
          <w:bCs/>
          <w:sz w:val="21"/>
          <w:szCs w:val="21"/>
          <w:lang w:val="en-US" w:eastAsia="zh-CN"/>
        </w:rPr>
        <w:t xml:space="preserve"> </w:t>
      </w:r>
      <w:r>
        <w:rPr>
          <w:rFonts w:hint="eastAsia" w:asciiTheme="minorEastAsia" w:hAnsiTheme="minorEastAsia"/>
          <w:b w:val="0"/>
          <w:bCs/>
          <w:sz w:val="21"/>
          <w:szCs w:val="21"/>
        </w:rPr>
        <w:t>系统整体架构图</w:t>
      </w:r>
    </w:p>
    <w:p w14:paraId="3BE35435">
      <w:pPr>
        <w:spacing w:line="360" w:lineRule="auto"/>
        <w:rPr>
          <w:rFonts w:asciiTheme="minorEastAsia" w:hAnsiTheme="minorEastAsia"/>
          <w:b/>
          <w:sz w:val="32"/>
          <w:szCs w:val="32"/>
        </w:rPr>
      </w:pPr>
      <w:r>
        <w:rPr>
          <w:rFonts w:hint="eastAsia" w:asciiTheme="minorEastAsia" w:hAnsiTheme="minorEastAsia"/>
          <w:b/>
          <w:sz w:val="32"/>
          <w:szCs w:val="32"/>
        </w:rPr>
        <w:t>2.6 软件整体运行流程</w:t>
      </w:r>
    </w:p>
    <w:p w14:paraId="1D9408CD">
      <w:pPr>
        <w:spacing w:line="440" w:lineRule="exact"/>
        <w:ind w:firstLine="480" w:firstLineChars="200"/>
        <w:rPr>
          <w:rFonts w:ascii="宋体" w:hAnsi="宋体" w:eastAsia="宋体" w:cs="宋体"/>
          <w:sz w:val="24"/>
          <w:szCs w:val="24"/>
        </w:rPr>
      </w:pPr>
      <w:r>
        <w:rPr>
          <w:rFonts w:ascii="宋体" w:hAnsi="宋体" w:eastAsia="宋体" w:cs="宋体"/>
          <w:sz w:val="24"/>
          <w:szCs w:val="24"/>
        </w:rPr>
        <w:t>本系统通过图形用户界面完成全部操作流程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算法运行流程如图2所示</w:t>
      </w:r>
      <w:r>
        <w:rPr>
          <w:rFonts w:ascii="宋体" w:hAnsi="宋体" w:eastAsia="宋体" w:cs="宋体"/>
          <w:sz w:val="24"/>
          <w:szCs w:val="24"/>
        </w:rPr>
        <w:t>。用户启动系统后，根据研究需求选择单模态识别或多模态识别模式，整体运行流程如下：</w:t>
      </w:r>
    </w:p>
    <w:p w14:paraId="41F8745B">
      <w:pPr>
        <w:pStyle w:val="9"/>
        <w:keepNext w:val="0"/>
        <w:keepLines w:val="0"/>
        <w:widowControl/>
        <w:suppressLineNumbers w:val="0"/>
      </w:pPr>
      <w:r>
        <w:t>（1）系统启动后进入功能选择界面，用户可选择“单模态识别”或“多模态识别”模式；</w:t>
      </w:r>
    </w:p>
    <w:p w14:paraId="6643626F">
      <w:pPr>
        <w:pStyle w:val="9"/>
        <w:keepNext w:val="0"/>
        <w:keepLines w:val="0"/>
        <w:widowControl/>
        <w:suppressLineNumbers w:val="0"/>
      </w:pPr>
      <w:r>
        <w:t>（2）在单模态识别模式下，用户可导入单张内镜图像或超声图像，系统自动调用对应的识别模型完成病变类型预测；</w:t>
      </w:r>
    </w:p>
    <w:p w14:paraId="6C2F789C">
      <w:pPr>
        <w:pStyle w:val="9"/>
        <w:keepNext w:val="0"/>
        <w:keepLines w:val="0"/>
        <w:widowControl/>
        <w:suppressLineNumbers w:val="0"/>
      </w:pPr>
      <w:r>
        <w:t>（3）在多模态识别模式下，用户需分别导入同一病例对应的内镜图像与超声图像，系统对两种模态数据进行预处理与特征融合，并调用多模态识别模型完成预测；</w:t>
      </w:r>
    </w:p>
    <w:p w14:paraId="6E7CFD6A">
      <w:pPr>
        <w:pStyle w:val="9"/>
        <w:keepNext w:val="0"/>
        <w:keepLines w:val="0"/>
        <w:widowControl/>
        <w:suppressLineNumbers w:val="0"/>
      </w:pPr>
      <w:r>
        <w:t>（4）系统输出病变类型的多分类识别结果，包括病变级别及浸润深度所属等级，并在界面中进行可视化展示；</w:t>
      </w:r>
    </w:p>
    <w:p w14:paraId="686AA8A5">
      <w:pPr>
        <w:pStyle w:val="9"/>
        <w:keepNext w:val="0"/>
        <w:keepLines w:val="0"/>
        <w:widowControl/>
        <w:suppressLineNumbers w:val="0"/>
        <w:rPr>
          <w:rFonts w:hint="default" w:eastAsiaTheme="minorEastAsia"/>
          <w:lang w:val="en-US" w:eastAsia="zh-CN"/>
        </w:rPr>
      </w:pPr>
      <w:r>
        <w:t>（</w:t>
      </w:r>
      <w:r>
        <w:rPr>
          <w:rFonts w:hint="eastAsia"/>
          <w:lang w:val="en-US" w:eastAsia="zh-CN"/>
        </w:rPr>
        <w:t>5</w:t>
      </w:r>
      <w:r>
        <w:t>）</w:t>
      </w:r>
      <w:r>
        <w:rPr>
          <w:rFonts w:hint="eastAsia"/>
          <w:lang w:val="en-US" w:eastAsia="zh-CN"/>
        </w:rPr>
        <w:t>对病灶区域进行高亮，方便科研人员做病灶区域对比。</w:t>
      </w:r>
    </w:p>
    <w:p w14:paraId="6EBA19EF">
      <w:pPr>
        <w:pStyle w:val="9"/>
        <w:keepNext w:val="0"/>
        <w:keepLines w:val="0"/>
        <w:widowControl/>
        <w:suppressLineNumbers w:val="0"/>
      </w:pPr>
      <w:r>
        <w:t>（</w:t>
      </w:r>
      <w:r>
        <w:rPr>
          <w:rFonts w:hint="eastAsia"/>
          <w:lang w:val="en-US" w:eastAsia="zh-CN"/>
        </w:rPr>
        <w:t>6</w:t>
      </w:r>
      <w:r>
        <w:t>）用户可对识别结果进行查看、记录与保存，用于后续科研分析与实验对比。</w:t>
      </w:r>
    </w:p>
    <w:p w14:paraId="19977932">
      <w:pPr>
        <w:pStyle w:val="9"/>
        <w:keepNext w:val="0"/>
        <w:keepLines w:val="0"/>
        <w:widowControl/>
        <w:suppressLineNumbers w:val="0"/>
        <w:jc w:val="center"/>
      </w:pPr>
      <w:r>
        <w:object>
          <v:shape id="_x0000_i1028" o:spt="75" alt="" type="#_x0000_t75" style="height:514.8pt;width:300.75pt;" o:ole="t" filled="f" o:preferrelative="t" stroked="f" coordsize="21600,21600">
            <v:path/>
            <v:fill on="f" focussize="0,0"/>
            <v:stroke on="f"/>
            <v:imagedata r:id="rId8" o:title=""/>
            <o:lock v:ext="edit" aspectratio="f"/>
            <w10:wrap type="none"/>
            <w10:anchorlock/>
          </v:shape>
          <o:OLEObject Type="Embed" ProgID="Visio.Drawing.15" ShapeID="_x0000_i1028" DrawAspect="Content" ObjectID="_1468075726" r:id="rId7">
            <o:LockedField>false</o:LockedField>
          </o:OLEObject>
        </w:object>
      </w:r>
    </w:p>
    <w:p w14:paraId="77FA56E8">
      <w:pPr>
        <w:pStyle w:val="9"/>
        <w:keepNext w:val="0"/>
        <w:keepLines w:val="0"/>
        <w:widowControl/>
        <w:suppressLineNumbers w:val="0"/>
        <w:jc w:val="center"/>
        <w:rPr>
          <w:rFonts w:hint="eastAsia"/>
          <w:sz w:val="21"/>
          <w:szCs w:val="20"/>
        </w:rPr>
      </w:pPr>
      <w:r>
        <w:rPr>
          <w:rFonts w:hint="eastAsia"/>
          <w:sz w:val="21"/>
          <w:szCs w:val="20"/>
          <w:lang w:val="en-US" w:eastAsia="zh-CN"/>
        </w:rPr>
        <w:t>图2 软件功能算法执行流程图</w:t>
      </w:r>
    </w:p>
    <w:p w14:paraId="44F9C0C4">
      <w:pPr>
        <w:spacing w:line="360" w:lineRule="auto"/>
        <w:rPr>
          <w:rFonts w:asciiTheme="minorEastAsia" w:hAnsiTheme="minorEastAsia"/>
          <w:b/>
          <w:sz w:val="32"/>
          <w:szCs w:val="32"/>
        </w:rPr>
      </w:pPr>
      <w:r>
        <w:rPr>
          <w:rFonts w:hint="eastAsia" w:asciiTheme="minorEastAsia" w:hAnsiTheme="minorEastAsia"/>
          <w:b/>
          <w:sz w:val="32"/>
          <w:szCs w:val="32"/>
        </w:rPr>
        <w:t>2.7软件使用方式</w:t>
      </w:r>
    </w:p>
    <w:p w14:paraId="34DF5FE8">
      <w:pPr>
        <w:spacing w:line="440" w:lineRule="exact"/>
        <w:rPr>
          <w:rFonts w:hint="eastAsia" w:asciiTheme="minorEastAsia" w:hAnsiTheme="minorEastAsia"/>
          <w:b/>
          <w:sz w:val="32"/>
          <w:szCs w:val="32"/>
        </w:rPr>
      </w:pPr>
      <w:r>
        <w:rPr>
          <w:rFonts w:asciiTheme="minorEastAsia" w:hAnsiTheme="minorEastAsia"/>
          <w:b/>
          <w:sz w:val="32"/>
          <w:szCs w:val="32"/>
        </w:rPr>
        <w:tab/>
      </w:r>
      <w:r>
        <w:rPr>
          <w:rFonts w:ascii="宋体" w:hAnsi="宋体" w:eastAsia="宋体" w:cs="宋体"/>
          <w:sz w:val="24"/>
          <w:szCs w:val="24"/>
        </w:rPr>
        <w:t>本系统为科研用途的图形化应用软件，全程通过可视化界面进行操作，无需编写程序代码。用户仅需按照界面提示完成图像导入与模式选择，即可获得对应的病变类型识别结果。系统支持单模态与多模态两种使用方式，便于科研人员在不同实验场景下对比分析不同模态及融合方法的识别效果。</w:t>
      </w:r>
    </w:p>
    <w:p w14:paraId="394CF73D">
      <w:pPr>
        <w:spacing w:line="360" w:lineRule="auto"/>
        <w:rPr>
          <w:rFonts w:asciiTheme="minorEastAsia" w:hAnsiTheme="minorEastAsia"/>
          <w:b/>
          <w:sz w:val="32"/>
          <w:szCs w:val="32"/>
        </w:rPr>
      </w:pPr>
      <w:r>
        <w:rPr>
          <w:rFonts w:hint="eastAsia" w:asciiTheme="minorEastAsia" w:hAnsiTheme="minorEastAsia"/>
          <w:b/>
          <w:sz w:val="32"/>
          <w:szCs w:val="32"/>
        </w:rPr>
        <w:t>3、软件功能描述</w:t>
      </w:r>
    </w:p>
    <w:p w14:paraId="3EF29794">
      <w:pPr>
        <w:spacing w:line="360" w:lineRule="auto"/>
        <w:rPr>
          <w:rFonts w:asciiTheme="minorEastAsia" w:hAnsiTheme="minorEastAsia"/>
          <w:b/>
          <w:sz w:val="32"/>
          <w:szCs w:val="32"/>
        </w:rPr>
      </w:pPr>
      <w:r>
        <w:rPr>
          <w:rFonts w:hint="eastAsia" w:asciiTheme="minorEastAsia" w:hAnsiTheme="minorEastAsia"/>
          <w:b/>
          <w:sz w:val="32"/>
          <w:szCs w:val="32"/>
        </w:rPr>
        <w:t xml:space="preserve">3.1 </w:t>
      </w:r>
      <w:r>
        <w:rPr>
          <w:rFonts w:hint="eastAsia" w:asciiTheme="minorEastAsia" w:hAnsiTheme="minorEastAsia"/>
          <w:b/>
          <w:sz w:val="32"/>
          <w:szCs w:val="32"/>
          <w:lang w:val="en-US" w:eastAsia="zh-CN"/>
        </w:rPr>
        <w:t>单模态病变类型识别</w:t>
      </w:r>
      <w:r>
        <w:rPr>
          <w:rFonts w:hint="eastAsia" w:asciiTheme="minorEastAsia" w:hAnsiTheme="minorEastAsia"/>
          <w:b/>
          <w:sz w:val="32"/>
          <w:szCs w:val="32"/>
        </w:rPr>
        <w:t>功能</w:t>
      </w:r>
    </w:p>
    <w:p w14:paraId="683F12B1">
      <w:pPr>
        <w:spacing w:line="440" w:lineRule="exact"/>
        <w:ind w:firstLine="480" w:firstLineChars="200"/>
        <w:rPr>
          <w:rFonts w:ascii="宋体" w:hAnsi="宋体" w:eastAsia="宋体" w:cs="宋体"/>
          <w:sz w:val="24"/>
          <w:szCs w:val="24"/>
        </w:rPr>
      </w:pPr>
      <w:r>
        <w:rPr>
          <w:rFonts w:ascii="宋体" w:hAnsi="宋体" w:eastAsia="宋体" w:cs="宋体"/>
          <w:sz w:val="24"/>
          <w:szCs w:val="24"/>
        </w:rPr>
        <w:t>单模态病变类型识别功能支持对单张内镜图像或超声图像进行自动分析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如图3所示</w:t>
      </w:r>
      <w:r>
        <w:rPr>
          <w:rFonts w:ascii="宋体" w:hAnsi="宋体" w:eastAsia="宋体" w:cs="宋体"/>
          <w:sz w:val="24"/>
          <w:szCs w:val="24"/>
        </w:rPr>
        <w:t>。用户通过界面导入图像后，系统调用对应模态的深度学习识别模型，对食管鳞癌病变类型进行多分类预测。识别结果以类别标签形式展示，涵盖不同病变级别及浸润深度等级。</w:t>
      </w:r>
    </w:p>
    <w:p w14:paraId="22B342C2">
      <w:pPr>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drawing>
          <wp:anchor distT="0" distB="0" distL="114300" distR="114300" simplePos="0" relativeHeight="251660288" behindDoc="1" locked="0" layoutInCell="1" allowOverlap="1">
            <wp:simplePos x="0" y="0"/>
            <wp:positionH relativeFrom="column">
              <wp:posOffset>394970</wp:posOffset>
            </wp:positionH>
            <wp:positionV relativeFrom="paragraph">
              <wp:posOffset>147955</wp:posOffset>
            </wp:positionV>
            <wp:extent cx="4465955" cy="3342640"/>
            <wp:effectExtent l="0" t="0" r="10795" b="10160"/>
            <wp:wrapTight wrapText="bothSides">
              <wp:wrapPolygon>
                <wp:start x="0" y="0"/>
                <wp:lineTo x="0" y="21419"/>
                <wp:lineTo x="21468" y="21419"/>
                <wp:lineTo x="21468" y="0"/>
                <wp:lineTo x="0" y="0"/>
              </wp:wrapPolygon>
            </wp:wrapTight>
            <wp:docPr id="1" name="图片 1" descr="cd129ecf0e31e247632db027f5ebb63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d129ecf0e31e247632db027f5ebb632_"/>
                    <pic:cNvPicPr>
                      <a:picLocks noChangeAspect="1"/>
                    </pic:cNvPicPr>
                  </pic:nvPicPr>
                  <pic:blipFill>
                    <a:blip r:embed="rId9"/>
                    <a:stretch>
                      <a:fillRect/>
                    </a:stretch>
                  </pic:blipFill>
                  <pic:spPr>
                    <a:xfrm>
                      <a:off x="0" y="0"/>
                      <a:ext cx="4465955" cy="3342640"/>
                    </a:xfrm>
                    <a:prstGeom prst="rect">
                      <a:avLst/>
                    </a:prstGeom>
                  </pic:spPr>
                </pic:pic>
              </a:graphicData>
            </a:graphic>
          </wp:anchor>
        </w:drawing>
      </w:r>
    </w:p>
    <w:p w14:paraId="0945E2EE">
      <w:pPr>
        <w:spacing w:line="440" w:lineRule="exact"/>
        <w:ind w:firstLine="480" w:firstLineChars="200"/>
        <w:rPr>
          <w:rFonts w:hint="eastAsia" w:ascii="宋体" w:hAnsi="宋体" w:eastAsia="宋体" w:cs="宋体"/>
          <w:sz w:val="24"/>
          <w:szCs w:val="24"/>
        </w:rPr>
      </w:pPr>
    </w:p>
    <w:p w14:paraId="3CA7A74A">
      <w:pPr>
        <w:spacing w:line="360" w:lineRule="auto"/>
        <w:rPr>
          <w:rFonts w:hint="eastAsia" w:asciiTheme="minorEastAsia" w:hAnsiTheme="minorEastAsia"/>
          <w:b/>
          <w:sz w:val="32"/>
          <w:szCs w:val="32"/>
        </w:rPr>
      </w:pPr>
    </w:p>
    <w:p w14:paraId="5E58300F">
      <w:pPr>
        <w:spacing w:line="360" w:lineRule="auto"/>
        <w:rPr>
          <w:rFonts w:hint="eastAsia" w:asciiTheme="minorEastAsia" w:hAnsiTheme="minorEastAsia"/>
          <w:b/>
          <w:sz w:val="32"/>
          <w:szCs w:val="32"/>
        </w:rPr>
      </w:pPr>
    </w:p>
    <w:p w14:paraId="3D1FBAA7">
      <w:pPr>
        <w:spacing w:line="360" w:lineRule="auto"/>
        <w:rPr>
          <w:rFonts w:hint="eastAsia" w:asciiTheme="minorEastAsia" w:hAnsiTheme="minorEastAsia"/>
          <w:b/>
          <w:sz w:val="32"/>
          <w:szCs w:val="32"/>
        </w:rPr>
      </w:pPr>
    </w:p>
    <w:p w14:paraId="773DCE39">
      <w:pPr>
        <w:spacing w:line="360" w:lineRule="auto"/>
        <w:rPr>
          <w:rFonts w:hint="eastAsia" w:asciiTheme="minorEastAsia" w:hAnsiTheme="minorEastAsia"/>
          <w:b/>
          <w:sz w:val="32"/>
          <w:szCs w:val="32"/>
        </w:rPr>
      </w:pPr>
    </w:p>
    <w:p w14:paraId="47C7989B">
      <w:pPr>
        <w:spacing w:line="360" w:lineRule="auto"/>
        <w:rPr>
          <w:rFonts w:hint="eastAsia" w:asciiTheme="minorEastAsia" w:hAnsiTheme="minorEastAsia"/>
          <w:b/>
          <w:sz w:val="32"/>
          <w:szCs w:val="32"/>
        </w:rPr>
      </w:pPr>
    </w:p>
    <w:p w14:paraId="0EDE86DC">
      <w:pPr>
        <w:spacing w:line="360" w:lineRule="auto"/>
        <w:rPr>
          <w:rFonts w:hint="eastAsia" w:asciiTheme="minorEastAsia" w:hAnsiTheme="minorEastAsia"/>
          <w:b/>
          <w:sz w:val="32"/>
          <w:szCs w:val="32"/>
        </w:rPr>
      </w:pPr>
    </w:p>
    <w:p w14:paraId="15B979C6">
      <w:pPr>
        <w:spacing w:line="360" w:lineRule="auto"/>
        <w:rPr>
          <w:rFonts w:hint="eastAsia" w:asciiTheme="minorEastAsia" w:hAnsiTheme="minorEastAsia"/>
          <w:b/>
          <w:sz w:val="32"/>
          <w:szCs w:val="32"/>
        </w:rPr>
      </w:pPr>
    </w:p>
    <w:p w14:paraId="006AAFDD">
      <w:pPr>
        <w:spacing w:line="360" w:lineRule="auto"/>
        <w:rPr>
          <w:rFonts w:hint="eastAsia" w:asciiTheme="minorEastAsia" w:hAnsiTheme="minorEastAsia"/>
          <w:b/>
          <w:sz w:val="22"/>
          <w:szCs w:val="22"/>
        </w:rPr>
      </w:pPr>
    </w:p>
    <w:p w14:paraId="171E893F">
      <w:pPr>
        <w:spacing w:line="360" w:lineRule="auto"/>
        <w:jc w:val="center"/>
        <w:rPr>
          <w:rFonts w:hint="default" w:asciiTheme="minorEastAsia" w:hAnsiTheme="minorEastAsia" w:eastAsiaTheme="minorEastAsia"/>
          <w:b/>
          <w:sz w:val="22"/>
          <w:szCs w:val="22"/>
          <w:lang w:val="en-US" w:eastAsia="zh-CN"/>
        </w:rPr>
      </w:pPr>
      <w:r>
        <w:rPr>
          <w:rFonts w:hint="eastAsia" w:asciiTheme="minorEastAsia" w:hAnsiTheme="minorEastAsia"/>
          <w:b/>
          <w:sz w:val="22"/>
          <w:szCs w:val="22"/>
          <w:lang w:val="en-US" w:eastAsia="zh-CN"/>
        </w:rPr>
        <w:t>图3 食管鳞癌单模态识别</w:t>
      </w:r>
    </w:p>
    <w:p w14:paraId="0ED93E28">
      <w:pPr>
        <w:spacing w:line="360" w:lineRule="auto"/>
        <w:rPr>
          <w:rFonts w:asciiTheme="minorEastAsia" w:hAnsiTheme="minorEastAsia"/>
          <w:b/>
          <w:sz w:val="32"/>
          <w:szCs w:val="32"/>
        </w:rPr>
      </w:pPr>
      <w:r>
        <w:rPr>
          <w:rFonts w:hint="eastAsia" w:asciiTheme="minorEastAsia" w:hAnsiTheme="minorEastAsia"/>
          <w:b/>
          <w:sz w:val="32"/>
          <w:szCs w:val="32"/>
        </w:rPr>
        <w:t>3.2</w:t>
      </w:r>
      <w:r>
        <w:rPr>
          <w:rFonts w:hint="eastAsia" w:asciiTheme="minorEastAsia" w:hAnsiTheme="minorEastAsia"/>
          <w:b/>
          <w:sz w:val="32"/>
          <w:szCs w:val="32"/>
          <w:lang w:val="en-US" w:eastAsia="zh-CN"/>
        </w:rPr>
        <w:t>多模态病变类型识别</w:t>
      </w:r>
      <w:r>
        <w:rPr>
          <w:rFonts w:hint="eastAsia" w:asciiTheme="minorEastAsia" w:hAnsiTheme="minorEastAsia"/>
          <w:b/>
          <w:sz w:val="32"/>
          <w:szCs w:val="32"/>
        </w:rPr>
        <w:t>功能</w:t>
      </w:r>
    </w:p>
    <w:p w14:paraId="60F81667">
      <w:pPr>
        <w:spacing w:before="156" w:beforeLines="50" w:after="156" w:afterLines="50" w:line="360" w:lineRule="auto"/>
        <w:ind w:firstLine="480" w:firstLineChars="200"/>
        <w:jc w:val="left"/>
        <w:rPr>
          <w:rFonts w:ascii="宋体" w:hAnsi="宋体" w:eastAsia="宋体" w:cs="宋体"/>
          <w:sz w:val="24"/>
          <w:szCs w:val="24"/>
        </w:rPr>
      </w:pPr>
      <w:bookmarkStart w:id="3" w:name="_Toc130239831"/>
      <w:r>
        <w:rPr>
          <w:rFonts w:ascii="宋体" w:hAnsi="宋体" w:eastAsia="宋体" w:cs="宋体"/>
          <w:sz w:val="24"/>
          <w:szCs w:val="24"/>
        </w:rPr>
        <w:t>多模态病变类型识别功能是本系统的核心科研功能之一。</w:t>
      </w:r>
      <w:r>
        <w:rPr>
          <w:rFonts w:hint="eastAsia" w:ascii="宋体" w:hAnsi="宋体" w:eastAsia="宋体" w:cs="宋体"/>
          <w:sz w:val="24"/>
          <w:szCs w:val="24"/>
          <w:lang w:val="en-US" w:eastAsia="zh-CN"/>
        </w:rPr>
        <w:t>如图4所示，</w:t>
      </w:r>
      <w:r>
        <w:rPr>
          <w:rFonts w:ascii="宋体" w:hAnsi="宋体" w:eastAsia="宋体" w:cs="宋体"/>
          <w:sz w:val="24"/>
          <w:szCs w:val="24"/>
        </w:rPr>
        <w:t>该功能通过融合内镜图像与超声图像两种模态信息，对食管鳞癌病变进行综合分析。系统分别对内镜图像与超声图像进行特征提取，并通过多模态特征融合模型完成联合判别，从而提升病变类型识别的准确性与稳定性。识别结果以多分类形式输出，涵盖不同病变级别及浸润深度等级，主要用于科研实验中的方法对比与性能评估。</w:t>
      </w:r>
    </w:p>
    <w:p w14:paraId="12516FEF">
      <w:pPr>
        <w:spacing w:before="156" w:beforeLines="50" w:after="156" w:afterLines="50" w:line="360" w:lineRule="auto"/>
        <w:ind w:firstLine="480" w:firstLineChars="200"/>
        <w:jc w:val="center"/>
        <w:rPr>
          <w:rFonts w:ascii="宋体" w:hAnsi="宋体" w:eastAsia="宋体" w:cs="宋体"/>
          <w:sz w:val="24"/>
          <w:szCs w:val="24"/>
        </w:rPr>
      </w:pPr>
    </w:p>
    <w:p w14:paraId="4F0CE1B3">
      <w:pPr>
        <w:spacing w:line="360" w:lineRule="auto"/>
        <w:rPr>
          <w:rFonts w:hint="eastAsia" w:asciiTheme="minorEastAsia" w:hAnsiTheme="minorEastAsia"/>
          <w:b/>
          <w:sz w:val="32"/>
          <w:szCs w:val="32"/>
        </w:rPr>
      </w:pPr>
    </w:p>
    <w:p w14:paraId="6E19C02A">
      <w:pPr>
        <w:spacing w:line="360" w:lineRule="auto"/>
        <w:rPr>
          <w:rFonts w:hint="eastAsia" w:asciiTheme="minorEastAsia" w:hAnsiTheme="minorEastAsia"/>
          <w:b/>
          <w:sz w:val="32"/>
          <w:szCs w:val="32"/>
        </w:rPr>
      </w:pPr>
      <w:r>
        <w:rPr>
          <w:rFonts w:hint="eastAsia" w:ascii="宋体" w:hAnsi="宋体" w:eastAsia="宋体" w:cs="宋体"/>
          <w:sz w:val="24"/>
          <w:szCs w:val="24"/>
          <w:lang w:eastAsia="zh-CN"/>
        </w:rPr>
        <w:drawing>
          <wp:anchor distT="0" distB="0" distL="114300" distR="114300" simplePos="0" relativeHeight="251659264" behindDoc="1" locked="0" layoutInCell="1" allowOverlap="1">
            <wp:simplePos x="0" y="0"/>
            <wp:positionH relativeFrom="column">
              <wp:posOffset>285750</wp:posOffset>
            </wp:positionH>
            <wp:positionV relativeFrom="paragraph">
              <wp:posOffset>0</wp:posOffset>
            </wp:positionV>
            <wp:extent cx="4810760" cy="3190240"/>
            <wp:effectExtent l="0" t="0" r="8890" b="48260"/>
            <wp:wrapTight wrapText="bothSides">
              <wp:wrapPolygon>
                <wp:start x="0" y="0"/>
                <wp:lineTo x="0" y="21411"/>
                <wp:lineTo x="21554" y="21411"/>
                <wp:lineTo x="21554" y="0"/>
                <wp:lineTo x="0" y="0"/>
              </wp:wrapPolygon>
            </wp:wrapTight>
            <wp:docPr id="2" name="图片 2" descr="f2d8da9bdce9266acc664432edd57db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2d8da9bdce9266acc664432edd57db9_"/>
                    <pic:cNvPicPr>
                      <a:picLocks noChangeAspect="1"/>
                    </pic:cNvPicPr>
                  </pic:nvPicPr>
                  <pic:blipFill>
                    <a:blip r:embed="rId10"/>
                    <a:stretch>
                      <a:fillRect/>
                    </a:stretch>
                  </pic:blipFill>
                  <pic:spPr>
                    <a:xfrm>
                      <a:off x="0" y="0"/>
                      <a:ext cx="4810760" cy="3190240"/>
                    </a:xfrm>
                    <a:prstGeom prst="rect">
                      <a:avLst/>
                    </a:prstGeom>
                  </pic:spPr>
                </pic:pic>
              </a:graphicData>
            </a:graphic>
          </wp:anchor>
        </w:drawing>
      </w:r>
    </w:p>
    <w:p w14:paraId="75271B54">
      <w:pPr>
        <w:spacing w:line="360" w:lineRule="auto"/>
        <w:rPr>
          <w:rFonts w:hint="eastAsia" w:asciiTheme="minorEastAsia" w:hAnsiTheme="minorEastAsia"/>
          <w:b/>
          <w:sz w:val="32"/>
          <w:szCs w:val="32"/>
        </w:rPr>
      </w:pPr>
    </w:p>
    <w:p w14:paraId="1CB230FC">
      <w:pPr>
        <w:spacing w:line="360" w:lineRule="auto"/>
        <w:rPr>
          <w:rFonts w:hint="eastAsia" w:asciiTheme="minorEastAsia" w:hAnsiTheme="minorEastAsia"/>
          <w:b/>
          <w:sz w:val="32"/>
          <w:szCs w:val="32"/>
        </w:rPr>
      </w:pPr>
    </w:p>
    <w:p w14:paraId="28810DF7">
      <w:pPr>
        <w:spacing w:line="360" w:lineRule="auto"/>
        <w:rPr>
          <w:rFonts w:hint="eastAsia" w:asciiTheme="minorEastAsia" w:hAnsiTheme="minorEastAsia"/>
          <w:b/>
          <w:sz w:val="32"/>
          <w:szCs w:val="32"/>
        </w:rPr>
      </w:pPr>
    </w:p>
    <w:p w14:paraId="35952FC7">
      <w:pPr>
        <w:spacing w:line="360" w:lineRule="auto"/>
        <w:rPr>
          <w:rFonts w:hint="eastAsia" w:asciiTheme="minorEastAsia" w:hAnsiTheme="minorEastAsia"/>
          <w:b/>
          <w:sz w:val="32"/>
          <w:szCs w:val="32"/>
        </w:rPr>
      </w:pPr>
    </w:p>
    <w:p w14:paraId="7CF45FCA">
      <w:pPr>
        <w:spacing w:line="360" w:lineRule="auto"/>
        <w:rPr>
          <w:rFonts w:hint="eastAsia" w:asciiTheme="minorEastAsia" w:hAnsiTheme="minorEastAsia"/>
          <w:b/>
          <w:sz w:val="32"/>
          <w:szCs w:val="32"/>
        </w:rPr>
      </w:pPr>
    </w:p>
    <w:p w14:paraId="7593042E">
      <w:pPr>
        <w:spacing w:line="360" w:lineRule="auto"/>
        <w:rPr>
          <w:rFonts w:hint="eastAsia" w:asciiTheme="minorEastAsia" w:hAnsiTheme="minorEastAsia"/>
          <w:b/>
          <w:sz w:val="32"/>
          <w:szCs w:val="32"/>
        </w:rPr>
      </w:pPr>
    </w:p>
    <w:p w14:paraId="04F39361">
      <w:pPr>
        <w:spacing w:line="360" w:lineRule="auto"/>
        <w:rPr>
          <w:rFonts w:hint="eastAsia" w:asciiTheme="minorEastAsia" w:hAnsiTheme="minorEastAsia"/>
          <w:b/>
          <w:sz w:val="32"/>
          <w:szCs w:val="32"/>
        </w:rPr>
      </w:pPr>
    </w:p>
    <w:p w14:paraId="014983BB">
      <w:pPr>
        <w:spacing w:line="360" w:lineRule="auto"/>
        <w:jc w:val="center"/>
        <w:rPr>
          <w:rFonts w:hint="default" w:asciiTheme="minorEastAsia" w:hAnsiTheme="minorEastAsia" w:eastAsiaTheme="minorEastAsia"/>
          <w:b/>
          <w:sz w:val="24"/>
          <w:szCs w:val="24"/>
          <w:lang w:val="en-US" w:eastAsia="zh-CN"/>
        </w:rPr>
      </w:pPr>
      <w:r>
        <w:rPr>
          <w:rFonts w:hint="eastAsia" w:asciiTheme="minorEastAsia" w:hAnsiTheme="minorEastAsia"/>
          <w:b/>
          <w:sz w:val="24"/>
          <w:szCs w:val="24"/>
          <w:lang w:val="en-US" w:eastAsia="zh-CN"/>
        </w:rPr>
        <w:t>图4 食管鳞癌多模态识别</w:t>
      </w:r>
    </w:p>
    <w:p w14:paraId="2B361969">
      <w:pPr>
        <w:spacing w:line="360" w:lineRule="auto"/>
        <w:rPr>
          <w:rFonts w:hint="default" w:asciiTheme="minorEastAsia" w:hAnsiTheme="minorEastAsia"/>
          <w:b/>
          <w:sz w:val="32"/>
          <w:szCs w:val="32"/>
          <w:lang w:val="en-US"/>
        </w:rPr>
      </w:pPr>
      <w:r>
        <w:rPr>
          <w:rFonts w:hint="eastAsia" w:asciiTheme="minorEastAsia" w:hAnsiTheme="minorEastAsia"/>
          <w:b/>
          <w:sz w:val="32"/>
          <w:szCs w:val="32"/>
        </w:rPr>
        <w:t>3.</w:t>
      </w:r>
      <w:r>
        <w:rPr>
          <w:rFonts w:hint="eastAsia" w:asciiTheme="minorEastAsia" w:hAnsiTheme="minorEastAsia"/>
          <w:b/>
          <w:sz w:val="32"/>
          <w:szCs w:val="32"/>
          <w:lang w:val="en-US" w:eastAsia="zh-CN"/>
        </w:rPr>
        <w:t>3病灶区域识别与热力图可视化功能</w:t>
      </w:r>
    </w:p>
    <w:p w14:paraId="7D3A27FF">
      <w:pPr>
        <w:spacing w:line="360" w:lineRule="auto"/>
        <w:ind w:firstLine="480" w:firstLineChars="200"/>
        <w:rPr>
          <w:rFonts w:hint="eastAsia" w:asciiTheme="minorEastAsia" w:hAnsiTheme="minorEastAsia"/>
          <w:b/>
          <w:sz w:val="32"/>
          <w:szCs w:val="32"/>
          <w:lang w:val="en-US" w:eastAsia="zh-CN"/>
        </w:rPr>
      </w:pPr>
      <w:r>
        <w:rPr>
          <w:rFonts w:ascii="宋体" w:hAnsi="宋体" w:eastAsia="宋体" w:cs="宋体"/>
          <w:sz w:val="24"/>
          <w:szCs w:val="24"/>
        </w:rPr>
        <w:t>为提升病变类型识别结果的可解释性与科研分析价值，本系统在完成病变类型预测的同时，支持对病灶区域进行识别与可视化展示</w:t>
      </w:r>
      <w:r>
        <w:rPr>
          <w:rFonts w:hint="eastAsia" w:ascii="宋体" w:hAnsi="宋体" w:eastAsia="宋体" w:cs="宋体"/>
          <w:sz w:val="24"/>
          <w:szCs w:val="24"/>
          <w:lang w:val="en-US" w:eastAsia="zh-CN"/>
        </w:rPr>
        <w:t>,如图5所示</w:t>
      </w:r>
      <w:r>
        <w:rPr>
          <w:rFonts w:ascii="宋体" w:hAnsi="宋体" w:eastAsia="宋体" w:cs="宋体"/>
          <w:sz w:val="24"/>
          <w:szCs w:val="24"/>
        </w:rPr>
        <w:t>。热力图通过不同颜色强度对模型重点关注的区域进行高亮显示，使用户能够直观观察病灶在医学影像中的空间分布特征及其对分类结果的贡献情况。</w:t>
      </w:r>
      <w:r>
        <w:rPr>
          <w:rFonts w:hint="eastAsia" w:asciiTheme="minorEastAsia" w:hAnsiTheme="minorEastAsia"/>
          <w:b/>
          <w:sz w:val="32"/>
          <w:szCs w:val="32"/>
          <w:lang w:val="en-US" w:eastAsia="zh-CN"/>
        </w:rPr>
        <w:t xml:space="preserve">    </w:t>
      </w:r>
    </w:p>
    <w:p w14:paraId="7B9E634B">
      <w:pPr>
        <w:spacing w:line="360" w:lineRule="auto"/>
        <w:ind w:firstLine="643" w:firstLineChars="200"/>
        <w:rPr>
          <w:rFonts w:hint="eastAsia" w:asciiTheme="minorEastAsia" w:hAnsiTheme="minorEastAsia"/>
          <w:b/>
          <w:sz w:val="32"/>
          <w:szCs w:val="32"/>
          <w:lang w:val="en-US" w:eastAsia="zh-CN"/>
        </w:rPr>
      </w:pPr>
      <w:r>
        <w:rPr>
          <w:rFonts w:hint="default" w:asciiTheme="minorEastAsia" w:hAnsiTheme="minorEastAsia" w:eastAsiaTheme="minorEastAsia"/>
          <w:b/>
          <w:sz w:val="32"/>
          <w:szCs w:val="32"/>
          <w:lang w:val="en-US" w:eastAsia="zh-CN"/>
        </w:rPr>
        <w:drawing>
          <wp:anchor distT="0" distB="0" distL="114300" distR="114300" simplePos="0" relativeHeight="251662336" behindDoc="1" locked="0" layoutInCell="1" allowOverlap="1">
            <wp:simplePos x="0" y="0"/>
            <wp:positionH relativeFrom="column">
              <wp:posOffset>193675</wp:posOffset>
            </wp:positionH>
            <wp:positionV relativeFrom="paragraph">
              <wp:posOffset>140970</wp:posOffset>
            </wp:positionV>
            <wp:extent cx="2381250" cy="2475865"/>
            <wp:effectExtent l="0" t="0" r="0" b="0"/>
            <wp:wrapTight wrapText="bothSides">
              <wp:wrapPolygon>
                <wp:start x="0" y="0"/>
                <wp:lineTo x="0" y="21439"/>
                <wp:lineTo x="21427" y="21439"/>
                <wp:lineTo x="21427" y="0"/>
                <wp:lineTo x="0" y="0"/>
              </wp:wrapPolygon>
            </wp:wrapTight>
            <wp:docPr id="6" name="图片 6" descr="cam_P00053_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am_P00053_0046"/>
                    <pic:cNvPicPr>
                      <a:picLocks noChangeAspect="1"/>
                    </pic:cNvPicPr>
                  </pic:nvPicPr>
                  <pic:blipFill>
                    <a:blip r:embed="rId11"/>
                    <a:stretch>
                      <a:fillRect/>
                    </a:stretch>
                  </pic:blipFill>
                  <pic:spPr>
                    <a:xfrm>
                      <a:off x="0" y="0"/>
                      <a:ext cx="2381250" cy="2475865"/>
                    </a:xfrm>
                    <a:prstGeom prst="rect">
                      <a:avLst/>
                    </a:prstGeom>
                  </pic:spPr>
                </pic:pic>
              </a:graphicData>
            </a:graphic>
          </wp:anchor>
        </w:drawing>
      </w:r>
      <w:r>
        <w:rPr>
          <w:rFonts w:hint="eastAsia" w:asciiTheme="minorEastAsia" w:hAnsiTheme="minorEastAsia"/>
          <w:b/>
          <w:sz w:val="32"/>
          <w:szCs w:val="32"/>
          <w:lang w:val="en-US" w:eastAsia="zh-CN"/>
        </w:rPr>
        <w:drawing>
          <wp:anchor distT="0" distB="0" distL="114300" distR="114300" simplePos="0" relativeHeight="251661312" behindDoc="1" locked="0" layoutInCell="1" allowOverlap="1">
            <wp:simplePos x="0" y="0"/>
            <wp:positionH relativeFrom="column">
              <wp:posOffset>3108960</wp:posOffset>
            </wp:positionH>
            <wp:positionV relativeFrom="paragraph">
              <wp:posOffset>129540</wp:posOffset>
            </wp:positionV>
            <wp:extent cx="2371725" cy="2466340"/>
            <wp:effectExtent l="0" t="0" r="9525" b="0"/>
            <wp:wrapTight wrapText="bothSides">
              <wp:wrapPolygon>
                <wp:start x="0" y="0"/>
                <wp:lineTo x="0" y="21355"/>
                <wp:lineTo x="21513" y="21355"/>
                <wp:lineTo x="21513" y="0"/>
                <wp:lineTo x="0" y="0"/>
              </wp:wrapPolygon>
            </wp:wrapTight>
            <wp:docPr id="5" name="图片 5" descr="cam_P00059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am_P00059_0012"/>
                    <pic:cNvPicPr>
                      <a:picLocks noChangeAspect="1"/>
                    </pic:cNvPicPr>
                  </pic:nvPicPr>
                  <pic:blipFill>
                    <a:blip r:embed="rId12"/>
                    <a:stretch>
                      <a:fillRect/>
                    </a:stretch>
                  </pic:blipFill>
                  <pic:spPr>
                    <a:xfrm>
                      <a:off x="0" y="0"/>
                      <a:ext cx="2371725" cy="2466340"/>
                    </a:xfrm>
                    <a:prstGeom prst="rect">
                      <a:avLst/>
                    </a:prstGeom>
                  </pic:spPr>
                </pic:pic>
              </a:graphicData>
            </a:graphic>
          </wp:anchor>
        </w:drawing>
      </w:r>
    </w:p>
    <w:p w14:paraId="05F799AC">
      <w:pPr>
        <w:spacing w:line="360" w:lineRule="auto"/>
        <w:ind w:firstLine="643" w:firstLineChars="200"/>
        <w:rPr>
          <w:rFonts w:hint="eastAsia" w:asciiTheme="minorEastAsia" w:hAnsiTheme="minorEastAsia"/>
          <w:b/>
          <w:sz w:val="32"/>
          <w:szCs w:val="32"/>
          <w:lang w:val="en-US" w:eastAsia="zh-CN"/>
        </w:rPr>
      </w:pPr>
    </w:p>
    <w:p w14:paraId="718C2F60">
      <w:pPr>
        <w:spacing w:line="360" w:lineRule="auto"/>
        <w:rPr>
          <w:rFonts w:hint="default" w:asciiTheme="minorEastAsia" w:hAnsiTheme="minorEastAsia" w:eastAsiaTheme="minorEastAsia"/>
          <w:b/>
          <w:sz w:val="32"/>
          <w:szCs w:val="32"/>
          <w:lang w:val="en-US" w:eastAsia="zh-CN"/>
        </w:rPr>
      </w:pPr>
    </w:p>
    <w:p w14:paraId="14321677">
      <w:pPr>
        <w:spacing w:line="360" w:lineRule="auto"/>
        <w:rPr>
          <w:rFonts w:hint="default" w:asciiTheme="minorEastAsia" w:hAnsiTheme="minorEastAsia" w:eastAsiaTheme="minorEastAsia"/>
          <w:b/>
          <w:sz w:val="32"/>
          <w:szCs w:val="32"/>
          <w:lang w:val="en-US" w:eastAsia="zh-CN"/>
        </w:rPr>
      </w:pPr>
    </w:p>
    <w:p w14:paraId="435579F9">
      <w:pPr>
        <w:spacing w:line="360" w:lineRule="auto"/>
        <w:rPr>
          <w:rFonts w:hint="default" w:asciiTheme="minorEastAsia" w:hAnsiTheme="minorEastAsia" w:eastAsiaTheme="minorEastAsia"/>
          <w:b/>
          <w:sz w:val="32"/>
          <w:szCs w:val="32"/>
          <w:lang w:val="en-US" w:eastAsia="zh-CN"/>
        </w:rPr>
      </w:pPr>
    </w:p>
    <w:p w14:paraId="73982C07">
      <w:pPr>
        <w:spacing w:line="360" w:lineRule="auto"/>
        <w:rPr>
          <w:rFonts w:hint="default" w:asciiTheme="minorEastAsia" w:hAnsiTheme="minorEastAsia" w:eastAsiaTheme="minorEastAsia"/>
          <w:b/>
          <w:sz w:val="32"/>
          <w:szCs w:val="32"/>
          <w:lang w:val="en-US" w:eastAsia="zh-CN"/>
        </w:rPr>
      </w:pPr>
    </w:p>
    <w:p w14:paraId="31FBF308">
      <w:pPr>
        <w:spacing w:line="360" w:lineRule="auto"/>
        <w:rPr>
          <w:rFonts w:hint="default" w:asciiTheme="minorEastAsia" w:hAnsiTheme="minorEastAsia" w:eastAsiaTheme="minorEastAsia"/>
          <w:b/>
          <w:sz w:val="20"/>
          <w:szCs w:val="20"/>
          <w:lang w:val="en-US" w:eastAsia="zh-CN"/>
        </w:rPr>
      </w:pPr>
    </w:p>
    <w:p w14:paraId="2CFA852E">
      <w:pPr>
        <w:spacing w:line="360" w:lineRule="auto"/>
        <w:ind w:firstLine="1004" w:firstLineChars="500"/>
        <w:rPr>
          <w:rFonts w:hint="default" w:asciiTheme="minorEastAsia" w:hAnsiTheme="minorEastAsia" w:eastAsiaTheme="minorEastAsia"/>
          <w:b/>
          <w:sz w:val="20"/>
          <w:szCs w:val="20"/>
          <w:lang w:val="en-US" w:eastAsia="zh-CN"/>
        </w:rPr>
      </w:pPr>
      <w:r>
        <w:rPr>
          <w:rFonts w:hint="eastAsia" w:asciiTheme="minorEastAsia" w:hAnsiTheme="minorEastAsia"/>
          <w:b/>
          <w:sz w:val="20"/>
          <w:szCs w:val="20"/>
          <w:lang w:val="en-US" w:eastAsia="zh-CN"/>
        </w:rPr>
        <w:t>（a）内镜病灶区域热力图                      （b）超声病灶区域热力图</w:t>
      </w:r>
    </w:p>
    <w:p w14:paraId="22F2198B">
      <w:pPr>
        <w:spacing w:line="360" w:lineRule="auto"/>
        <w:jc w:val="center"/>
        <w:rPr>
          <w:rFonts w:hint="eastAsia" w:asciiTheme="minorEastAsia" w:hAnsiTheme="minorEastAsia"/>
          <w:b/>
          <w:sz w:val="32"/>
          <w:szCs w:val="32"/>
        </w:rPr>
      </w:pPr>
      <w:r>
        <w:rPr>
          <w:rFonts w:hint="eastAsia" w:asciiTheme="minorEastAsia" w:hAnsiTheme="minorEastAsia"/>
          <w:b/>
          <w:sz w:val="22"/>
          <w:szCs w:val="22"/>
          <w:lang w:val="en-US" w:eastAsia="zh-CN"/>
        </w:rPr>
        <w:t>图5 食管鳞癌病灶高亮示意图</w:t>
      </w:r>
    </w:p>
    <w:p w14:paraId="222B7C95">
      <w:pPr>
        <w:spacing w:line="360" w:lineRule="auto"/>
        <w:rPr>
          <w:rFonts w:hint="default" w:asciiTheme="minorEastAsia" w:hAnsiTheme="minorEastAsia"/>
          <w:b/>
          <w:sz w:val="32"/>
          <w:szCs w:val="32"/>
          <w:lang w:val="en-US"/>
        </w:rPr>
      </w:pPr>
      <w:r>
        <w:rPr>
          <w:rFonts w:hint="eastAsia" w:asciiTheme="minorEastAsia" w:hAnsiTheme="minorEastAsia"/>
          <w:b/>
          <w:sz w:val="32"/>
          <w:szCs w:val="32"/>
        </w:rPr>
        <w:t>3.</w:t>
      </w:r>
      <w:r>
        <w:rPr>
          <w:rFonts w:hint="eastAsia" w:asciiTheme="minorEastAsia" w:hAnsiTheme="minorEastAsia"/>
          <w:b/>
          <w:sz w:val="32"/>
          <w:szCs w:val="32"/>
          <w:lang w:val="en-US" w:eastAsia="zh-CN"/>
        </w:rPr>
        <w:t>4识别结保存与科研分析支持功能</w:t>
      </w:r>
    </w:p>
    <w:p w14:paraId="5D478707">
      <w:pPr>
        <w:pStyle w:val="9"/>
        <w:keepNext w:val="0"/>
        <w:keepLines w:val="0"/>
        <w:widowControl/>
        <w:suppressLineNumbers w:val="0"/>
        <w:ind w:firstLine="480" w:firstLineChars="200"/>
        <w:rPr>
          <w:rFonts w:hint="eastAsia" w:ascii="宋体" w:hAnsi="宋体" w:cs="宋体" w:eastAsiaTheme="minorEastAsia"/>
          <w:sz w:val="24"/>
          <w:szCs w:val="24"/>
          <w:lang w:eastAsia="zh-CN"/>
        </w:rPr>
      </w:pPr>
      <w:r>
        <w:t>为满足科研实验记录与结果复现需求，本系统支持对病变类型识别结果进行保存。用户可根据需要将识别结果以文件形式进行存储，用于后续科研分析、实验对比或结果汇总。该功能有助于科研人员系统性地记录不同实验条件下的识别结果，为多模态方法性能评估、模型改进及论文撰写提供可靠的数据支撑</w:t>
      </w:r>
      <w:r>
        <w:rPr>
          <w:rFonts w:hint="eastAsia"/>
          <w:lang w:eastAsia="zh-CN"/>
        </w:rPr>
        <w:t>。</w:t>
      </w:r>
    </w:p>
    <w:bookmarkEnd w:id="3"/>
    <w:p w14:paraId="07B11ACA">
      <w:pPr>
        <w:spacing w:line="360" w:lineRule="auto"/>
        <w:outlineLvl w:val="0"/>
        <w:rPr>
          <w:rFonts w:asciiTheme="minorEastAsia" w:hAnsiTheme="minorEastAsia"/>
          <w:b/>
          <w:sz w:val="32"/>
          <w:szCs w:val="32"/>
        </w:rPr>
      </w:pPr>
      <w:bookmarkStart w:id="4" w:name="_Toc130239845"/>
      <w:r>
        <w:rPr>
          <w:rFonts w:hint="eastAsia" w:asciiTheme="minorEastAsia" w:hAnsiTheme="minorEastAsia"/>
          <w:b/>
          <w:sz w:val="32"/>
          <w:szCs w:val="32"/>
        </w:rPr>
        <w:t>4、技术支持</w:t>
      </w:r>
      <w:bookmarkEnd w:id="4"/>
    </w:p>
    <w:p w14:paraId="305D68D6">
      <w:pPr>
        <w:spacing w:after="156" w:afterLines="50" w:line="440" w:lineRule="exact"/>
        <w:ind w:firstLine="480" w:firstLineChars="200"/>
        <w:rPr>
          <w:rFonts w:asciiTheme="minorEastAsia" w:hAnsiTheme="minorEastAsia"/>
          <w:sz w:val="24"/>
          <w:szCs w:val="24"/>
        </w:rPr>
      </w:pPr>
      <w:r>
        <w:rPr>
          <w:rFonts w:hint="eastAsia" w:asciiTheme="minorEastAsia" w:hAnsiTheme="minorEastAsia"/>
          <w:sz w:val="24"/>
          <w:szCs w:val="24"/>
        </w:rPr>
        <w:t>如果在系统使用过程中出现任何问题，可将所出现问题由邮件形式进行描述，发送至邮箱，我们将尽力为您解决所有问题。如有任何建议，我们也非常愿意共同进行探讨。</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dobe 宋体 Std L">
    <w:altName w:val="宋体"/>
    <w:panose1 w:val="00000000000000000000"/>
    <w:charset w:val="86"/>
    <w:family w:val="roman"/>
    <w:pitch w:val="default"/>
    <w:sig w:usb0="00000000" w:usb1="00000000" w:usb2="00000016" w:usb3="00000000" w:csb0="00060007"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5288C">
    <w:pPr>
      <w:pStyle w:val="6"/>
      <w:rPr>
        <w:rFonts w:eastAsia="Adobe 宋体 Std L"/>
        <w:szCs w:val="15"/>
      </w:rPr>
    </w:pPr>
    <w:r>
      <w:rPr>
        <w:rFonts w:eastAsia="Adobe 宋体 Std L"/>
        <w:szCs w:val="15"/>
      </w:rPr>
      <w:t>基于目标跟踪的柑橘自动计数系统</w:t>
    </w:r>
    <w:r>
      <w:rPr>
        <w:rFonts w:hint="eastAsia" w:eastAsia="Adobe 宋体 Std L"/>
        <w:szCs w:val="15"/>
      </w:rPr>
      <w:t>V1.0用户说明书</w:t>
    </w:r>
    <w:r>
      <w:rPr>
        <w:rFonts w:eastAsia="Adobe 宋体 Std L"/>
      </w:rPr>
      <w:ptab w:relativeTo="margin" w:alignment="right" w:leader="none"/>
    </w:r>
    <w:r>
      <w:rPr>
        <w:rFonts w:eastAsia="Adobe 宋体 Std L"/>
        <w:lang w:val="zh-CN"/>
      </w:rPr>
      <w:t xml:space="preserve"> </w:t>
    </w:r>
    <w:r>
      <w:rPr>
        <w:rFonts w:hint="eastAsia" w:eastAsia="Adobe 宋体 Std L"/>
        <w:lang w:val="zh-CN"/>
      </w:rPr>
      <w:t xml:space="preserve">第 </w:t>
    </w:r>
    <w:r>
      <w:rPr>
        <w:rFonts w:eastAsia="Adobe 宋体 Std L"/>
        <w:b/>
        <w:bCs/>
        <w:szCs w:val="15"/>
      </w:rPr>
      <w:fldChar w:fldCharType="begin"/>
    </w:r>
    <w:r>
      <w:rPr>
        <w:rFonts w:eastAsia="Adobe 宋体 Std L"/>
        <w:b/>
        <w:bCs/>
        <w:szCs w:val="15"/>
      </w:rPr>
      <w:instrText xml:space="preserve">PAGE  \* Arabic  \* MERGEFORMAT</w:instrText>
    </w:r>
    <w:r>
      <w:rPr>
        <w:rFonts w:eastAsia="Adobe 宋体 Std L"/>
        <w:b/>
        <w:bCs/>
        <w:szCs w:val="15"/>
      </w:rPr>
      <w:fldChar w:fldCharType="separate"/>
    </w:r>
    <w:r>
      <w:rPr>
        <w:rFonts w:eastAsia="Adobe 宋体 Std L"/>
        <w:b/>
        <w:bCs/>
        <w:szCs w:val="15"/>
        <w:lang w:val="zh-CN"/>
      </w:rPr>
      <w:t>10</w:t>
    </w:r>
    <w:r>
      <w:rPr>
        <w:rFonts w:eastAsia="Adobe 宋体 Std L"/>
        <w:b/>
        <w:bCs/>
        <w:szCs w:val="15"/>
      </w:rPr>
      <w:fldChar w:fldCharType="end"/>
    </w:r>
    <w:r>
      <w:rPr>
        <w:rFonts w:eastAsia="Adobe 宋体 Std L"/>
        <w:b/>
        <w:bCs/>
        <w:szCs w:val="15"/>
      </w:rPr>
      <w:t xml:space="preserve"> </w:t>
    </w:r>
    <w:r>
      <w:rPr>
        <w:rFonts w:hint="eastAsia" w:eastAsia="Adobe 宋体 Std L"/>
        <w:b/>
        <w:bCs/>
        <w:szCs w:val="15"/>
      </w:rPr>
      <w:t>页</w:t>
    </w:r>
    <w:r>
      <w:rPr>
        <w:rFonts w:eastAsia="Adobe 宋体 Std L"/>
        <w:szCs w:val="15"/>
        <w:lang w:val="zh-CN"/>
      </w:rPr>
      <w:t xml:space="preserve"> </w:t>
    </w:r>
    <w:r>
      <w:rPr>
        <w:rFonts w:hint="eastAsia" w:eastAsia="Adobe 宋体 Std L"/>
        <w:szCs w:val="15"/>
        <w:lang w:val="zh-CN"/>
      </w:rPr>
      <w:t>共</w:t>
    </w:r>
    <w:r>
      <w:rPr>
        <w:rFonts w:eastAsia="Adobe 宋体 Std L"/>
        <w:szCs w:val="15"/>
        <w:lang w:val="zh-CN"/>
      </w:rPr>
      <w:t xml:space="preserve"> </w:t>
    </w:r>
    <w:r>
      <w:rPr>
        <w:rFonts w:eastAsia="Adobe 宋体 Std L"/>
        <w:b/>
        <w:bCs/>
        <w:szCs w:val="15"/>
      </w:rPr>
      <w:fldChar w:fldCharType="begin"/>
    </w:r>
    <w:r>
      <w:rPr>
        <w:rFonts w:eastAsia="Adobe 宋体 Std L"/>
        <w:b/>
        <w:bCs/>
        <w:szCs w:val="15"/>
      </w:rPr>
      <w:instrText xml:space="preserve">NUMPAGES  \* Arabic  \* MERGEFORMAT</w:instrText>
    </w:r>
    <w:r>
      <w:rPr>
        <w:rFonts w:eastAsia="Adobe 宋体 Std L"/>
        <w:b/>
        <w:bCs/>
        <w:szCs w:val="15"/>
      </w:rPr>
      <w:fldChar w:fldCharType="separate"/>
    </w:r>
    <w:r>
      <w:rPr>
        <w:rFonts w:eastAsia="Adobe 宋体 Std L"/>
        <w:b/>
        <w:bCs/>
        <w:szCs w:val="15"/>
        <w:lang w:val="zh-CN"/>
      </w:rPr>
      <w:t>10</w:t>
    </w:r>
    <w:r>
      <w:rPr>
        <w:rFonts w:eastAsia="Adobe 宋体 Std L"/>
        <w:b/>
        <w:bCs/>
        <w:szCs w:val="15"/>
      </w:rPr>
      <w:fldChar w:fldCharType="end"/>
    </w:r>
    <w:r>
      <w:rPr>
        <w:rFonts w:eastAsia="Adobe 宋体 Std L"/>
        <w:b/>
        <w:bCs/>
        <w:szCs w:val="15"/>
      </w:rPr>
      <w:t xml:space="preserve"> </w:t>
    </w:r>
    <w:r>
      <w:rPr>
        <w:rFonts w:hint="eastAsia" w:eastAsia="Adobe 宋体 Std L"/>
        <w:b/>
        <w:bCs/>
        <w:szCs w:val="15"/>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FF7AD9"/>
    <w:multiLevelType w:val="multilevel"/>
    <w:tmpl w:val="16FF7AD9"/>
    <w:lvl w:ilvl="0" w:tentative="0">
      <w:start w:val="1"/>
      <w:numFmt w:val="decimal"/>
      <w:lvlText w:val="（%1）"/>
      <w:lvlJc w:val="left"/>
      <w:pPr>
        <w:ind w:left="1146"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10C"/>
    <w:rsid w:val="00050304"/>
    <w:rsid w:val="000747FA"/>
    <w:rsid w:val="0007537F"/>
    <w:rsid w:val="00085558"/>
    <w:rsid w:val="000907C9"/>
    <w:rsid w:val="00097737"/>
    <w:rsid w:val="000A41F0"/>
    <w:rsid w:val="000E238D"/>
    <w:rsid w:val="00104012"/>
    <w:rsid w:val="00111875"/>
    <w:rsid w:val="00123EB1"/>
    <w:rsid w:val="001973A2"/>
    <w:rsid w:val="001A73B9"/>
    <w:rsid w:val="001E2793"/>
    <w:rsid w:val="001F31C0"/>
    <w:rsid w:val="001F6D00"/>
    <w:rsid w:val="0020231C"/>
    <w:rsid w:val="002113D5"/>
    <w:rsid w:val="0026062E"/>
    <w:rsid w:val="00260A84"/>
    <w:rsid w:val="002635EA"/>
    <w:rsid w:val="00265A15"/>
    <w:rsid w:val="00273A8A"/>
    <w:rsid w:val="002A2193"/>
    <w:rsid w:val="002C55A3"/>
    <w:rsid w:val="002E4A28"/>
    <w:rsid w:val="002F26D9"/>
    <w:rsid w:val="00321760"/>
    <w:rsid w:val="003271DB"/>
    <w:rsid w:val="00350ABA"/>
    <w:rsid w:val="00356FC0"/>
    <w:rsid w:val="00381AE9"/>
    <w:rsid w:val="00381E43"/>
    <w:rsid w:val="00383514"/>
    <w:rsid w:val="003915BF"/>
    <w:rsid w:val="003D21B2"/>
    <w:rsid w:val="003E0826"/>
    <w:rsid w:val="003E6B7B"/>
    <w:rsid w:val="00406B62"/>
    <w:rsid w:val="00420A81"/>
    <w:rsid w:val="00431D82"/>
    <w:rsid w:val="00431DB0"/>
    <w:rsid w:val="004331D3"/>
    <w:rsid w:val="00480019"/>
    <w:rsid w:val="00482CA6"/>
    <w:rsid w:val="004D488E"/>
    <w:rsid w:val="004E2A5C"/>
    <w:rsid w:val="0051671C"/>
    <w:rsid w:val="00521953"/>
    <w:rsid w:val="0056216E"/>
    <w:rsid w:val="00563D79"/>
    <w:rsid w:val="00586052"/>
    <w:rsid w:val="005938AC"/>
    <w:rsid w:val="005D12B8"/>
    <w:rsid w:val="005D4D9B"/>
    <w:rsid w:val="005F72C3"/>
    <w:rsid w:val="006008F5"/>
    <w:rsid w:val="0060362D"/>
    <w:rsid w:val="00621CB7"/>
    <w:rsid w:val="0062310A"/>
    <w:rsid w:val="00637BDC"/>
    <w:rsid w:val="006409E4"/>
    <w:rsid w:val="00675288"/>
    <w:rsid w:val="0067778F"/>
    <w:rsid w:val="0068398A"/>
    <w:rsid w:val="006C6537"/>
    <w:rsid w:val="006D7A8A"/>
    <w:rsid w:val="006E0D1A"/>
    <w:rsid w:val="006F665F"/>
    <w:rsid w:val="007056E6"/>
    <w:rsid w:val="00710340"/>
    <w:rsid w:val="0072309F"/>
    <w:rsid w:val="00735266"/>
    <w:rsid w:val="0076462D"/>
    <w:rsid w:val="00770BAF"/>
    <w:rsid w:val="00776BAE"/>
    <w:rsid w:val="00781B44"/>
    <w:rsid w:val="00782A3E"/>
    <w:rsid w:val="007B503A"/>
    <w:rsid w:val="007C7E68"/>
    <w:rsid w:val="007D07CD"/>
    <w:rsid w:val="007E5615"/>
    <w:rsid w:val="007F3F24"/>
    <w:rsid w:val="00807F1F"/>
    <w:rsid w:val="00823DAA"/>
    <w:rsid w:val="0084349A"/>
    <w:rsid w:val="00851545"/>
    <w:rsid w:val="008616F6"/>
    <w:rsid w:val="00892B6E"/>
    <w:rsid w:val="008B35B8"/>
    <w:rsid w:val="008C5424"/>
    <w:rsid w:val="008D42D4"/>
    <w:rsid w:val="008F044E"/>
    <w:rsid w:val="00941821"/>
    <w:rsid w:val="00953324"/>
    <w:rsid w:val="00963022"/>
    <w:rsid w:val="00976215"/>
    <w:rsid w:val="00982160"/>
    <w:rsid w:val="009A1A7D"/>
    <w:rsid w:val="009B5861"/>
    <w:rsid w:val="009C690B"/>
    <w:rsid w:val="009D759D"/>
    <w:rsid w:val="009E1364"/>
    <w:rsid w:val="009E3C06"/>
    <w:rsid w:val="00A00EDA"/>
    <w:rsid w:val="00A86AB2"/>
    <w:rsid w:val="00A94CA3"/>
    <w:rsid w:val="00AA4571"/>
    <w:rsid w:val="00AB49B3"/>
    <w:rsid w:val="00AC422E"/>
    <w:rsid w:val="00AE2686"/>
    <w:rsid w:val="00AE4A1E"/>
    <w:rsid w:val="00B1471F"/>
    <w:rsid w:val="00B24CB3"/>
    <w:rsid w:val="00B43DAB"/>
    <w:rsid w:val="00B54245"/>
    <w:rsid w:val="00B606D1"/>
    <w:rsid w:val="00B624F8"/>
    <w:rsid w:val="00BA7843"/>
    <w:rsid w:val="00BE526F"/>
    <w:rsid w:val="00C6032F"/>
    <w:rsid w:val="00C65517"/>
    <w:rsid w:val="00C8072B"/>
    <w:rsid w:val="00CA401A"/>
    <w:rsid w:val="00CC4071"/>
    <w:rsid w:val="00CC6CF6"/>
    <w:rsid w:val="00CE69B9"/>
    <w:rsid w:val="00D07E00"/>
    <w:rsid w:val="00D34E18"/>
    <w:rsid w:val="00D43229"/>
    <w:rsid w:val="00D84770"/>
    <w:rsid w:val="00D9110C"/>
    <w:rsid w:val="00DB0758"/>
    <w:rsid w:val="00DD20F3"/>
    <w:rsid w:val="00DD555A"/>
    <w:rsid w:val="00DF43E3"/>
    <w:rsid w:val="00E06B69"/>
    <w:rsid w:val="00E2091F"/>
    <w:rsid w:val="00E257F1"/>
    <w:rsid w:val="00E675AF"/>
    <w:rsid w:val="00EC2879"/>
    <w:rsid w:val="00EC5B11"/>
    <w:rsid w:val="00ED7FD5"/>
    <w:rsid w:val="00F75217"/>
    <w:rsid w:val="00FA3D9A"/>
    <w:rsid w:val="00FC4F66"/>
    <w:rsid w:val="00FD49E2"/>
    <w:rsid w:val="00FF2A93"/>
    <w:rsid w:val="01311D17"/>
    <w:rsid w:val="01CD0762"/>
    <w:rsid w:val="02867C28"/>
    <w:rsid w:val="037E6D6A"/>
    <w:rsid w:val="04714B34"/>
    <w:rsid w:val="0D5D6566"/>
    <w:rsid w:val="1303728B"/>
    <w:rsid w:val="13631002"/>
    <w:rsid w:val="144041B2"/>
    <w:rsid w:val="16D2144F"/>
    <w:rsid w:val="1763326F"/>
    <w:rsid w:val="18B51028"/>
    <w:rsid w:val="198527A8"/>
    <w:rsid w:val="1B2D112F"/>
    <w:rsid w:val="1B494644"/>
    <w:rsid w:val="1F444093"/>
    <w:rsid w:val="20C01D80"/>
    <w:rsid w:val="29310C46"/>
    <w:rsid w:val="29B42C36"/>
    <w:rsid w:val="2D8B6893"/>
    <w:rsid w:val="2E1F0FC6"/>
    <w:rsid w:val="2F590507"/>
    <w:rsid w:val="3236068C"/>
    <w:rsid w:val="32EE71B8"/>
    <w:rsid w:val="33B54CF0"/>
    <w:rsid w:val="33FE6B86"/>
    <w:rsid w:val="34257CAC"/>
    <w:rsid w:val="37B02C8E"/>
    <w:rsid w:val="3CDB01B0"/>
    <w:rsid w:val="3E65602D"/>
    <w:rsid w:val="414936AA"/>
    <w:rsid w:val="47721D0E"/>
    <w:rsid w:val="49E458BD"/>
    <w:rsid w:val="4B4C2876"/>
    <w:rsid w:val="4B7B5DC9"/>
    <w:rsid w:val="4C213D03"/>
    <w:rsid w:val="4C5E0AB3"/>
    <w:rsid w:val="506272C2"/>
    <w:rsid w:val="526E48F5"/>
    <w:rsid w:val="52F259E8"/>
    <w:rsid w:val="538B5019"/>
    <w:rsid w:val="53ED007F"/>
    <w:rsid w:val="56362D23"/>
    <w:rsid w:val="56505911"/>
    <w:rsid w:val="56E66275"/>
    <w:rsid w:val="59B166C6"/>
    <w:rsid w:val="5BF46D3E"/>
    <w:rsid w:val="5D83481E"/>
    <w:rsid w:val="5ECE200C"/>
    <w:rsid w:val="5F011E9E"/>
    <w:rsid w:val="5FA42829"/>
    <w:rsid w:val="65C21C5B"/>
    <w:rsid w:val="68294213"/>
    <w:rsid w:val="68BE76A0"/>
    <w:rsid w:val="6BD12BF8"/>
    <w:rsid w:val="6CB16AD5"/>
    <w:rsid w:val="6CD9731E"/>
    <w:rsid w:val="70545430"/>
    <w:rsid w:val="71C46294"/>
    <w:rsid w:val="72BE6D3E"/>
    <w:rsid w:val="759E3BBB"/>
    <w:rsid w:val="77EB5041"/>
    <w:rsid w:val="7D5D253D"/>
    <w:rsid w:val="7EE30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paragraph" w:styleId="9">
    <w:name w:val="Normal (Web)"/>
    <w:basedOn w:val="1"/>
    <w:semiHidden/>
    <w:unhideWhenUsed/>
    <w:qFormat/>
    <w:uiPriority w:val="99"/>
    <w:pPr>
      <w:spacing w:beforeAutospacing="1" w:afterAutospacing="1"/>
      <w:jc w:val="left"/>
    </w:pPr>
    <w:rPr>
      <w:rFonts w:cs="Times New Roman"/>
      <w:kern w:val="0"/>
      <w:sz w:val="24"/>
    </w:rPr>
  </w:style>
  <w:style w:type="character" w:styleId="12">
    <w:name w:val="Strong"/>
    <w:basedOn w:val="11"/>
    <w:qFormat/>
    <w:uiPriority w:val="22"/>
    <w:rPr>
      <w:b/>
    </w:rPr>
  </w:style>
  <w:style w:type="character" w:styleId="13">
    <w:name w:val="Hyperlink"/>
    <w:basedOn w:val="11"/>
    <w:unhideWhenUsed/>
    <w:qFormat/>
    <w:uiPriority w:val="99"/>
    <w:rPr>
      <w:color w:val="0000FF" w:themeColor="hyperlink"/>
      <w:u w:val="single"/>
      <w14:textFill>
        <w14:solidFill>
          <w14:schemeClr w14:val="hlink"/>
        </w14:solidFill>
      </w14:textFill>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未处理的提及1"/>
    <w:basedOn w:val="11"/>
    <w:semiHidden/>
    <w:unhideWhenUsed/>
    <w:qFormat/>
    <w:uiPriority w:val="99"/>
    <w:rPr>
      <w:color w:val="605E5C"/>
      <w:shd w:val="clear" w:color="auto" w:fill="E1DFDD"/>
    </w:rPr>
  </w:style>
  <w:style w:type="character" w:customStyle="1" w:styleId="17">
    <w:name w:val="标题 1 字符"/>
    <w:basedOn w:val="11"/>
    <w:link w:val="2"/>
    <w:qFormat/>
    <w:uiPriority w:val="9"/>
    <w:rPr>
      <w:b/>
      <w:bCs/>
      <w:kern w:val="44"/>
      <w:sz w:val="44"/>
      <w:szCs w:val="44"/>
    </w:rPr>
  </w:style>
  <w:style w:type="paragraph" w:customStyle="1" w:styleId="1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styleId="19">
    <w:name w:val="List Paragraph"/>
    <w:basedOn w:val="1"/>
    <w:qFormat/>
    <w:uiPriority w:val="99"/>
    <w:pPr>
      <w:ind w:firstLine="420" w:firstLineChars="200"/>
    </w:pPr>
  </w:style>
  <w:style w:type="character" w:customStyle="1" w:styleId="20">
    <w:name w:val="标题 3 字符"/>
    <w:basedOn w:val="11"/>
    <w:link w:val="4"/>
    <w:semiHidden/>
    <w:qFormat/>
    <w:uiPriority w:val="9"/>
    <w:rPr>
      <w:rFonts w:asciiTheme="minorHAnsi" w:hAnsiTheme="minorHAnsi" w:eastAsiaTheme="minorEastAsia" w:cstheme="minorBidi"/>
      <w:b/>
      <w:bCs/>
      <w:kern w:val="2"/>
      <w:sz w:val="32"/>
      <w:szCs w:val="32"/>
    </w:rPr>
  </w:style>
  <w:style w:type="character" w:customStyle="1" w:styleId="21">
    <w:name w:val="标题 2 字符"/>
    <w:basedOn w:val="11"/>
    <w:link w:val="3"/>
    <w:qFormat/>
    <w:uiPriority w:val="9"/>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C2FC8-EEA0-4235-A619-B44DA793BF57}">
  <ds:schemaRefs/>
</ds:datastoreItem>
</file>

<file path=docProps/app.xml><?xml version="1.0" encoding="utf-8"?>
<Properties xmlns="http://schemas.openxmlformats.org/officeDocument/2006/extended-properties" xmlns:vt="http://schemas.openxmlformats.org/officeDocument/2006/docPropsVTypes">
  <Template>Normal.dotm</Template>
  <Pages>9</Pages>
  <Words>3381</Words>
  <Characters>3516</Characters>
  <Lines>114</Lines>
  <Paragraphs>75</Paragraphs>
  <TotalTime>0</TotalTime>
  <ScaleCrop>false</ScaleCrop>
  <LinksUpToDate>false</LinksUpToDate>
  <CharactersWithSpaces>3582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2026-01-26T05:57:00Z</dcterms:created>
  <dc:creator>86158</dc:creator>
  <cp:lastModifiedBy>hcr123</cp:lastModifiedBy>
  <cp:lastPrinted>2024-03-26T11:13:00Z</cp:lastPrinted>
  <dcterms:modified xsi:type="dcterms:W3CDTF">2026-02-02T06:26:34Z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eyJoZGlkIjoiMDk2OGUxZTAwYTA2NjNmMzllMjI2MGI4MTcyNTI2ZGYiLCJ1c2VySWQiOiI2MjAyNDc5NTUifQ==</vt:lpwstr>
  </property>
  <property fmtid="{D5CDD505-2E9C-101B-9397-08002B2CF9AE}" pid="4" name="ICV">
    <vt:lpwstr>DA4D3BE959B3415691011CD3201E973E_12</vt:lpwstr>
  </property>
</Properties>
</file>