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00"/>
        <w:jc w:val="center"/>
      </w:pPr>
      <w:r>
        <w:rPr>
          <w:rFonts w:ascii="Calibri" w:hAnsi="Calibri" w:eastAsia="Microsoft YaHei"/>
          <w:b/>
          <w:color w:val="0B2545"/>
          <w:sz w:val="48"/>
        </w:rPr>
        <w:t>参考文献20：丝蛋白-音乐转译</w:t>
        <w:br/>
        <w:t>复现操作手册</w:t>
      </w:r>
    </w:p>
    <w:p>
      <w:pPr>
        <w:jc w:val="center"/>
      </w:pPr>
      <w:r>
        <w:rPr>
          <w:i/>
        </w:rPr>
        <w:t>基于 Wong et al., Nano Today 7 (2012) 488-495</w:t>
      </w:r>
    </w:p>
    <w:p>
      <w:pPr>
        <w:jc w:val="center"/>
      </w:pPr>
      <w:r>
        <w:rPr>
          <w:color w:val="5A5A5A"/>
        </w:rPr>
        <w:t>版本 1.0 | 2026-07-15 | 面向数字声化复现与可选材料实验验证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先做什么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完成标准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预计投入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第 1 阶段：数字复现（推荐）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获得 4 个音频、按固定映射重建 MIDI/乐谱，并与原曲比较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1-2 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第 2 阶段：音乐分析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给出 A/B 区块、音域、时值和主题重复的可复核标注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第 3 阶段：材料验证（可选）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在合作实验室验证 HAB3 与 HA3B 的成纤维差异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数周至数月</w:t>
            </w:r>
          </w:p>
        </w:tc>
      </w:tr>
    </w:tbl>
    <w:p/>
    <w:p>
      <w:pPr>
        <w:pStyle w:val="Heading1"/>
      </w:pPr>
      <w:r>
        <w:t>1. 复现范围与成功判据</w:t>
      </w:r>
    </w:p>
    <w:p>
      <w:r>
        <w:t>本文献不是“每种氨基酸直接映射为一个音符”的通用算法论文，而是将丝蛋白区块、组装行为和音乐层级对应起来的案例。最稳妥的复现是先做到“补充材料的音乐重建与听觉/乐谱验证”，再决定是否进入蛋白表达、微流控纺丝和 DPD 模拟。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4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交付物 / 判据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A. 资料复核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原文、补充 PDF、4 个 MP3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文件名、时长、曲目-构建体关系一致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B. 声化重建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补充材料的音高键、时值常量、区块顺序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每首导出 MIDI、MusicXML、WAV；人工审听可辨认共同 His 前缀与 A/B 主题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C. 定量比对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原始 MP3 与重建音频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音高序列、节奏位置、总时长的差异表；差异逐项标注为原文未规定的作曲选择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D. 材料实验（可选）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完整构建体 DNA/蛋白、微流控条件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HAB3 有连续纤维，HA3B 以团簇/不连续组装为主；不是仅凭音乐判断</w:t>
            </w:r>
          </w:p>
        </w:tc>
      </w:tr>
    </w:tbl>
    <w:p/>
    <w:p>
      <w:r>
        <w:t>关键结论：HAB3 为成纤维构建体；HA3B 为不成纤维构建体。补充材料与 PMC 版本对四首曲目的编号和名称给出更清晰的对应关系，复现记录应采用该对应关系。</w:t>
      </w:r>
    </w:p>
    <w:p>
      <w:pPr>
        <w:pStyle w:val="Heading1"/>
      </w:pPr>
      <w:r>
        <w:t>2. 数据、软件与目录准备</w:t>
      </w:r>
    </w:p>
    <w:p>
      <w:pPr>
        <w:pStyle w:val="Heading2"/>
      </w:pPr>
      <w:r>
        <w:t>2.1 必须下载的数据</w:t>
      </w:r>
    </w:p>
    <w:p>
      <w:pPr>
        <w:pStyle w:val="ListBullet"/>
      </w:pPr>
      <w:r>
        <w:t>主文 PDF：Materials by design: Merging proteins and music（DOI: 10.1016/j.nantod.2012.09.001）。</w:t>
      </w:r>
    </w:p>
    <w:p>
      <w:pPr>
        <w:pStyle w:val="ListBullet"/>
      </w:pPr>
      <w:r>
        <w:t>补充材料 PDF（含音高键、范围、常量和作曲规则）。</w:t>
      </w:r>
    </w:p>
    <w:p>
      <w:pPr>
        <w:pStyle w:val="ListBullet"/>
      </w:pPr>
      <w:r>
        <w:t>四个原始 MP3：01 Spinning Melody 1_ Vivo；02 Spinning Melody 2_ Andantino；03 Spinning Melody 3_ Vivo；04 Spinning Melody 4 Andantino; Bright。</w:t>
      </w:r>
    </w:p>
    <w:p>
      <w:pPr>
        <w:pStyle w:val="ListBullet"/>
      </w:pPr>
      <w:r>
        <w:t>用于完全材料复现实验的额外资料：参考文献[14]的完整构建体序列、表达/纯化和微流控条件。当前论文不能单独提供这些可订购的 DNA 序列与所有工艺参数。</w:t>
      </w:r>
    </w:p>
    <w:p>
      <w:pPr>
        <w:pStyle w:val="Heading2"/>
      </w:pPr>
      <w:r>
        <w:t>2.2 软件（免费优先）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推荐工具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具体任务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乐谱与 MIDI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MuseScore 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新建长笛单声部，输入映射后的音高/时值，导出 MusicXML、MIDI、PDF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听觉/频谱检查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Audacity 或 Sonic Visualiser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波形、频谱、节拍标记、与原 MP3 的 A/B 段落对照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可复现脚本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Python 3.11+；music21、mido、pretty_midi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将 CSV 音符事件确定性导出 MIDI；生成日志与校验表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音频渲染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MuseScore 内置合成器或 FluidSynth + 长笛 SoundFont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所有曲目固定同一乐器、采样率和响度设置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可选模拟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LAMMPS 或自建 DPD 工作流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仅在获得论文[15]的参数、边界条件与验证数据后实施</w:t>
            </w:r>
          </w:p>
        </w:tc>
      </w:tr>
    </w:tbl>
    <w:p/>
    <w:p>
      <w:pPr>
        <w:pStyle w:val="Heading2"/>
      </w:pPr>
      <w:r>
        <w:t>2.3 建议目录结构</w:t>
      </w:r>
    </w:p>
    <w:p>
      <w:pPr>
        <w:pStyle w:val="ListBullet"/>
      </w:pPr>
      <w:r>
        <w:t>ref20_reproduction/00_sources/（原文、补充 PDF、下载日期说明）</w:t>
      </w:r>
    </w:p>
    <w:p>
      <w:pPr>
        <w:pStyle w:val="ListBullet"/>
      </w:pPr>
      <w:r>
        <w:t>ref20_reproduction/01_original_audio/（4 个原始 MP3，只读保存）</w:t>
      </w:r>
    </w:p>
    <w:p>
      <w:pPr>
        <w:pStyle w:val="ListBullet"/>
      </w:pPr>
      <w:r>
        <w:t>ref20_reproduction/02_annotations/（每首曲目的 CSV、段落标注、人工决策日志）</w:t>
      </w:r>
    </w:p>
    <w:p>
      <w:pPr>
        <w:pStyle w:val="ListBullet"/>
      </w:pPr>
      <w:r>
        <w:t>ref20_reproduction/03_scores/（.mscz、.musicxml、.mid、.pdf）</w:t>
      </w:r>
    </w:p>
    <w:p>
      <w:pPr>
        <w:pStyle w:val="ListBullet"/>
      </w:pPr>
      <w:r>
        <w:t>ref20_reproduction/04_rendered_audio/（重建 WAV/MP3）</w:t>
      </w:r>
    </w:p>
    <w:p>
      <w:pPr>
        <w:pStyle w:val="ListBullet"/>
      </w:pPr>
      <w:r>
        <w:t>ref20_reproduction/05_comparison/（截图、差异表、审听记录）</w:t>
      </w:r>
    </w:p>
    <w:p>
      <w:pPr>
        <w:pStyle w:val="Heading1"/>
      </w:pPr>
      <w:r>
        <w:t>3. 已公布的映射规则：先固定不可变项</w:t>
      </w:r>
    </w:p>
    <w:p>
      <w:r>
        <w:t>补充材料给出的规则可直接作为复现规范。注意：它既包含确定性映射，也保留“为审美、流畅度和动态性选择高低音区”等人为作曲自由度。因此必须把每一次自由选择写入 decisions.csv，不能把它误称为论文给出的唯一答案。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实施方式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复核点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字母→音高键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M=E；H=B；S=B♭；G=G；L=A♭；V=D♭；P=E♭；R=D；K=F♯；E=高八度 E；F=F；Q=低八度 E♭；D=低八度 D；Y=高八度 F♯。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CSV 使用科学音高记法（如 B4）；注明选定八度。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区块主题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为 12 音符、疏水/富 Ala 区块；B 为 20 音符、亲水区块。按构建体的 A/B 次数串联。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被实现为更仪式化/攻击性；B 更抒情、内部变化更多。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共同前缀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四曲均先演奏同一段 48 音符 His-tag 乐句。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所有重建曲在事件 1-48 绝对一致。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TS linker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C-B♭；两个音各为 6 拍长。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每个 linker 的 pitch 与 duration 完全一致。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音域与移位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限制在长笛可演奏音域内；不同曲可整体/局部移位。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写入每段 transpose_semitones；不得超出音域。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时值倾向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部分音符跨曲保持标志性时值。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未明确时值须标“推定”，并用原 MP3 对齐。</w:t>
            </w:r>
          </w:p>
        </w:tc>
      </w:tr>
    </w:tbl>
    <w:p/>
    <w:p>
      <w:r>
        <w:t>建议的机器可读事件表字段：piece_id, event_index, source_symbol, block, pitch_name, midi_note, onset_beats, duration_beats, articulation, octave_choice, rule_source, confidence, note。</w:t>
      </w:r>
    </w:p>
    <w:p>
      <w:pPr>
        <w:pStyle w:val="Heading1"/>
      </w:pPr>
      <w:r>
        <w:t>4. 可执行的数字复现步骤（主路线）</w:t>
      </w:r>
    </w:p>
    <w:p>
      <w:pPr>
        <w:pStyle w:val="ListNumber"/>
      </w:pPr>
      <w:r>
        <w:rPr>
          <w:b/>
        </w:rPr>
        <w:t>建立可追溯资料库：</w:t>
      </w:r>
      <w:r>
        <w:t>下载主文、补充 PDF 和 4 个 MP3；在 sources_manifest.csv 记录来源 URL、访问日期、文件名、文件大小、SHA-256。原始文件不做覆盖编辑。</w:t>
      </w:r>
    </w:p>
    <w:p>
      <w:pPr>
        <w:pStyle w:val="ListNumber"/>
      </w:pPr>
      <w:r>
        <w:rPr>
          <w:b/>
        </w:rPr>
        <w:t>建立曲目-构建体对照表：</w:t>
      </w:r>
      <w:r>
        <w:t>固定为：01=HAB3 Melody 1（成纤维）；02=HA3B Melody 1（不成纤维）；03=HAB3 Melody 2（成纤维、较长）；04=HA3B Melody 2（不成纤维、较长）。</w:t>
      </w:r>
    </w:p>
    <w:p>
      <w:pPr>
        <w:pStyle w:val="ListNumber"/>
      </w:pPr>
      <w:r>
        <w:rPr>
          <w:b/>
        </w:rPr>
        <w:t>配置软件：</w:t>
      </w:r>
      <w:r>
        <w:t>安装 MuseScore 4、Audacity/Sonic Visualiser 和 Python。新建一支单声部长笛工程，拍号/速度先留为“待校准”，不要凭感觉设定。</w:t>
      </w:r>
    </w:p>
    <w:p>
      <w:pPr>
        <w:pStyle w:val="ListNumber"/>
      </w:pPr>
      <w:r>
        <w:rPr>
          <w:b/>
        </w:rPr>
        <w:t>转录共同前缀：</w:t>
      </w:r>
      <w:r>
        <w:t>以补充材料的 48 音符 His-tag 规则为基线；若补充 PDF 未列出完整时值，播放 01 并以小节线和波形峰值手工标注 onset/duration。保存 prefix_48.csv。</w:t>
      </w:r>
    </w:p>
    <w:p>
      <w:pPr>
        <w:pStyle w:val="ListNumber"/>
      </w:pPr>
      <w:r>
        <w:rPr>
          <w:b/>
        </w:rPr>
        <w:t>构建 A 和 B 主题表：</w:t>
      </w:r>
      <w:r>
        <w:t>依补充材料的字母→音高键写出 A（12 个）和 B（20 个）音高序列，分别存为 motif_A.csv 与 motif_B.csv。每个音符保留原始氨基酸字母，不要只保存 MIDI 数值。</w:t>
      </w:r>
    </w:p>
    <w:p>
      <w:pPr>
        <w:pStyle w:val="ListNumber"/>
      </w:pPr>
      <w:r>
        <w:rPr>
          <w:b/>
        </w:rPr>
        <w:t>按构建体拼接：</w:t>
      </w:r>
      <w:r>
        <w:t>生成 HAB3 = H + A + B + B + B；HA3B = H + A + A + A + B 的事件级草稿。按补充材料中 linker 的实际位置插入 TS；若位置未明，标为待从原曲/乐谱确认。</w:t>
      </w:r>
    </w:p>
    <w:p>
      <w:pPr>
        <w:pStyle w:val="ListNumber"/>
      </w:pPr>
      <w:r>
        <w:rPr>
          <w:b/>
        </w:rPr>
        <w:t>从 MP3 校准自由参数：</w:t>
      </w:r>
      <w:r>
        <w:t>在 Sonic Visualiser 导入原 MP3 与草稿 MIDI；逐段校准八度、节奏、重音和速度。每次修改在 decisions.csv 说明证据（时间戳、听觉判断或补充材料条目）。</w:t>
      </w:r>
    </w:p>
    <w:p>
      <w:pPr>
        <w:pStyle w:val="ListNumber"/>
      </w:pPr>
      <w:r>
        <w:rPr>
          <w:b/>
        </w:rPr>
        <w:t>生成乐谱与音频：</w:t>
      </w:r>
      <w:r>
        <w:t>将定稿 CSV 通过 music21/mido 生成 MIDI，再导入 MuseScore 排版为单声部长笛谱。以固定 SoundFont/音色渲染 WAV；再编码为 MP3。</w:t>
      </w:r>
    </w:p>
    <w:p>
      <w:pPr>
        <w:pStyle w:val="ListNumber"/>
      </w:pPr>
      <w:r>
        <w:rPr>
          <w:b/>
        </w:rPr>
        <w:t>逐项验收：</w:t>
      </w:r>
      <w:r>
        <w:t>检查：48 音符前缀一致；TS 均为 C-B♭且各 6 拍；HAB3 的 B 主题次数多于 HA3B；四首的构建体标签没有颠倒；乐谱、MIDI、WAV 的版本号相同。</w:t>
      </w:r>
    </w:p>
    <w:p>
      <w:pPr>
        <w:pStyle w:val="ListNumber"/>
      </w:pPr>
      <w:r>
        <w:rPr>
          <w:b/>
        </w:rPr>
        <w:t>输出复现包：</w:t>
      </w:r>
      <w:r>
        <w:t>提交 README、sources_manifest.csv、四首 .mscz/.musicxml/.mid/.wav、events.csv、decisions.csv、comparison_report.pdf。README 必须清楚区分“文献明确规定”与“根据音频推定”。</w:t>
      </w:r>
    </w:p>
    <w:p>
      <w:pPr>
        <w:pStyle w:val="Heading1"/>
      </w:pPr>
      <w:r>
        <w:t>5. 验证与报告模板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通过标准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记录位置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文件完整性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个原始音频均可播放，哈希已记录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00_sources/sources_manifest.csv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映射一致性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所有已公布字母映射无冲突；TS= C-B♭、各 6 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02_annotations/rule_audit.csv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共同前缀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四曲事件 1-48 的 pitch/duration 一致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02_annotations/prefix_check.csv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构建体结构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HAB3 与 HA3B 的 A/B 次数和标签正确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02_annotations/construct_check.csv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听觉对齐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每首至少标注 5 个锚点，记录偏差和原因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05_comparison/alignment_notes.md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可复跑性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删除输出后，运行脚本可重建 MIDI/WAV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README 的一条命令与环境锁定文件</w:t>
            </w:r>
          </w:p>
        </w:tc>
      </w:tr>
    </w:tbl>
    <w:p/>
    <w:p>
      <w:r>
        <w:t>不要采用“音频相似度单一阈值”作为唯一成功标准：原作者明确保留了音域、流动性和动态性的作曲选择。优先验证离散规则、构建体关系和可审计的人工决策。</w:t>
      </w:r>
    </w:p>
    <w:p>
      <w:pPr>
        <w:pStyle w:val="Heading1"/>
      </w:pPr>
      <w:r>
        <w:t>6. 材料实验与模拟：范围、缺口与安全边界</w:t>
      </w:r>
    </w:p>
    <w:p>
      <w:r>
        <w:t>该部分不应被视为可由本文献单独完成的 SOP。原文将部分关键工作归到既有文献和“in preparation”的模型，因此缺少完整构建 DNA、浓度、pH、流量、芯片尺寸、DPD 势参数、随机种子和原始数据。以下为实施前清单，而非未经验证的实验配方。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必须先获得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最小观察结果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蛋白构建与表达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HA3B/HAB3 的确切 DNA/氨基酸序列、载体、宿主、纯化方案及实验室审批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SDS-PAGE/质谱确认产物身份和纯度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微流控纺丝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芯片几何、核心/鞘液配方、浓度、流量、收集与干燥条件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显微图像显示连续纤维或非连续团簇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结构/力学表征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样本数、长度/直径测量法、拉伸速率、统计计划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HAB3 与 HA3B 的纤维形成差异及置信区间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DPD 模拟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所有 bead 映射、相互作用、剪切流条件、边界、时间步和对照数据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可重现的团簇连通性/贯通网络指标</w:t>
            </w:r>
          </w:p>
        </w:tc>
      </w:tr>
    </w:tbl>
    <w:p/>
    <w:p>
      <w:r>
        <w:t>建议决策门：未取得完整构建体序列和微流控参数前，停止湿实验；未取得 DPD 参数或可验证的原始轨迹前，停止将模拟结果称为“论文复现”。可以先完成数字复现，不受这些缺口影响。</w:t>
      </w:r>
    </w:p>
    <w:p>
      <w:pPr>
        <w:pStyle w:val="Heading1"/>
      </w:pPr>
      <w:r>
        <w:t>7. 可用资源、开源项目与成品页面</w:t>
      </w:r>
    </w:p>
    <w:p>
      <w:r>
        <w:t>本次检索未发现该 2012 论文作者公开发布、可直接运行的“丝蛋白→音乐”专用代码仓库或交互网站。其可直接复现的成品是 PMC 托管的补充音频与补充 PDF。下列资源按用途区分，避免把后续相关项目误当作本论文的原始实现。</w:t>
      </w:r>
    </w:p>
    <w:p>
      <w:pPr/>
      <w:r>
        <w:rPr>
          <w:b/>
        </w:rPr>
        <w:t xml:space="preserve">论文全文与成品音频/补充材料: </w:t>
      </w:r>
      <w:hyperlink r:id="rId11">
        <w:r>
          <w:rPr>
            <w:color w:val="0563C1"/>
            <w:u w:val="single"/>
          </w:rPr>
          <w:t>https://pmc.ncbi.nlm.nih.gov/articles/PMC3752788/</w:t>
        </w:r>
      </w:hyperlink>
      <w:r>
        <w:t xml:space="preserve"> — 最重要：页面 Associated Data 中有 4 个 MP3 与补充 PDF。</w:t>
      </w:r>
    </w:p>
    <w:p>
      <w:pPr/>
      <w:r>
        <w:rPr>
          <w:b/>
        </w:rPr>
        <w:t xml:space="preserve">论文书目信息（PubMed）: </w:t>
      </w:r>
      <w:hyperlink r:id="rId12">
        <w:r>
          <w:rPr>
            <w:color w:val="0563C1"/>
            <w:u w:val="single"/>
          </w:rPr>
          <w:t>https://pubmed.ncbi.nlm.nih.gov/23997808/</w:t>
        </w:r>
      </w:hyperlink>
      <w:r>
        <w:t xml:space="preserve"> — 核对 DOI、作者、期刊与图注。</w:t>
      </w:r>
    </w:p>
    <w:p>
      <w:pPr/>
      <w:r>
        <w:rPr>
          <w:b/>
        </w:rPr>
        <w:t xml:space="preserve">开放的音乐结构分析工具: </w:t>
      </w:r>
      <w:hyperlink r:id="rId13">
        <w:r>
          <w:rPr>
            <w:color w:val="0563C1"/>
            <w:u w:val="single"/>
          </w:rPr>
          <w:t>https://www.sonicvisualiser.org/</w:t>
        </w:r>
      </w:hyperlink>
      <w:r>
        <w:t xml:space="preserve"> — Sonic Visualiser：音频可视化、标注、导入 MIDI；并非本文作者代码。</w:t>
      </w:r>
    </w:p>
    <w:p>
      <w:pPr/>
      <w:r>
        <w:rPr>
          <w:b/>
        </w:rPr>
        <w:t xml:space="preserve">开放的算法作曲工具: </w:t>
      </w:r>
      <w:hyperlink r:id="rId14">
        <w:r>
          <w:rPr>
            <w:color w:val="0563C1"/>
            <w:u w:val="single"/>
          </w:rPr>
          <w:t>https://github.com/ideoforms/isobar</w:t>
        </w:r>
      </w:hyperlink>
      <w:r>
        <w:t xml:space="preserve"> — Python MIDI/OSC 模式生成库，MIT 许可；可用于将事件表导出为 MIDI，并非本文作者代码。</w:t>
      </w:r>
    </w:p>
    <w:p>
      <w:pPr/>
      <w:r>
        <w:rPr>
          <w:b/>
        </w:rPr>
        <w:t xml:space="preserve">后续相关开源项目: </w:t>
      </w:r>
      <w:hyperlink r:id="rId15">
        <w:r>
          <w:rPr>
            <w:color w:val="0563C1"/>
            <w:u w:val="single"/>
          </w:rPr>
          <w:t>https://github.com/lamm-mit/AttentionCrossTranslation</w:t>
        </w:r>
      </w:hyperlink>
      <w:r>
        <w:t xml:space="preserve"> — 2023 年跨域音乐-蛋白深度学习项目；与本文主题相关但不是 2012 规则的复现代码。</w:t>
      </w:r>
    </w:p>
    <w:p>
      <w:r>
        <w:t>使用提示：下载的补充音频用于研究、比较与教学时应保留原始署名、文章 DOI 和来源链接；不要将它们或重建版本暗示为作者官方新发布的程序。</w:t>
      </w:r>
    </w:p>
    <w:p>
      <w:pPr>
        <w:pStyle w:val="Heading1"/>
      </w:pPr>
      <w:r>
        <w:t>8. 参考依据与复现限制</w:t>
      </w:r>
    </w:p>
    <w:p>
      <w:pPr>
        <w:pStyle w:val="ListBullet"/>
      </w:pPr>
      <w:r>
        <w:t>Wong JY, McDonald J, Taylor-Pinney M, Spivak DI, Kaplan DL, Buehler MJ. Materials by design: Merging proteins and music. Nano Today. 2012;7(6):488-495. DOI: 10.1016/j.nantod.2012.09.001。</w:t>
      </w:r>
    </w:p>
    <w:p>
      <w:pPr>
        <w:pStyle w:val="ListBullet"/>
      </w:pPr>
      <w:r>
        <w:t>该文补充材料：含四首音频与“Translation from silk to music”规则；其中把字母映射、长笛音域、TS linker、共同 His 前缀列为关键常量。</w:t>
      </w:r>
    </w:p>
    <w:p>
      <w:pPr>
        <w:pStyle w:val="ListBullet"/>
      </w:pPr>
      <w:r>
        <w:t>Kinahan et al. Tunable Silk: Using Microfluidics to Fabricate Silk Fibers with Controllable Properties. Biomacromolecules. 2011;12(5):1504-1511。用于追溯微流控纺丝背景，但不能替代取得本研究确切构建体和参数。</w:t>
      </w:r>
    </w:p>
    <w:p>
      <w:r>
        <w:t>限制声明：本文将可检索到的补充规则转写为可执行流程。文献没有公布全部作曲决策和完整 DPD 参数，因此“完全逐音一致”和“完全实验/模拟重演”均需要向作者、补充档案或原始相关研究进一步索取资料。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仅数字复现无需湿实验；生物实验须在具备相应生物安全与实验资质的实验室开展。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参考文献20复现操作手册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mc.ncbi.nlm.nih.gov/articles/PMC3752788/" TargetMode="External"/><Relationship Id="rId12" Type="http://schemas.openxmlformats.org/officeDocument/2006/relationships/hyperlink" Target="https://pubmed.ncbi.nlm.nih.gov/23997808/" TargetMode="External"/><Relationship Id="rId13" Type="http://schemas.openxmlformats.org/officeDocument/2006/relationships/hyperlink" Target="https://www.sonicvisualiser.org/" TargetMode="External"/><Relationship Id="rId14" Type="http://schemas.openxmlformats.org/officeDocument/2006/relationships/hyperlink" Target="https://github.com/ideoforms/isobar" TargetMode="External"/><Relationship Id="rId15" Type="http://schemas.openxmlformats.org/officeDocument/2006/relationships/hyperlink" Target="https://github.com/lamm-mit/AttentionCrossTrans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