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E7559"/>
          <w:sz w:val="64"/>
        </w:rPr>
        <w:br/>
        <w:br/>
        <w:br/>
        <w:t>AGRIDOCTOR AI</w:t>
        <w:br/>
      </w:r>
      <w:r>
        <w:rPr>
          <w:rFonts w:ascii="Arial" w:hAnsi="Arial"/>
          <w:color w:val="6C757D"/>
          <w:sz w:val="28"/>
        </w:rPr>
        <w:t>A Safety-Constrained Hybrid Routing &amp; Vision-Language Framework for Crop-Leaf Pathology and Livestock Diagnostics</w:t>
        <w:br/>
        <w:br/>
        <w:br/>
        <w:br/>
      </w:r>
    </w:p>
    <w:p>
      <w:pPr>
        <w:spacing w:line="312" w:lineRule="auto"/>
        <w:jc w:val="center"/>
      </w:pPr>
      <w:r>
        <w:rPr>
          <w:color w:val="212529"/>
          <w:sz w:val="22"/>
        </w:rPr>
        <w:t>Module: AI-4-Creativity Project (Final Major Project)</w:t>
        <w:br/>
        <w:t>Student Name: Mohammad Sarif Khan</w:t>
        <w:br/>
        <w:t>Student ID: 2238572</w:t>
        <w:br/>
        <w:t>Academic Year: 2026</w:t>
        <w:br/>
        <w:t>Submission Type: Resit FMP Academic Portfolio</w:t>
        <w:br/>
        <w:t>Target Score: Full Quality Assessment (100% Quality / Capped at 40% Record)</w:t>
        <w:br/>
        <w:br/>
        <w:t>Production URL: https://agridoctor.cloud</w:t>
        <w:br/>
        <w:t>Source Repository: https://github.com/Sarifkhan1/AgriDoctor</w:t>
        <w:br/>
      </w:r>
    </w:p>
    <w:p>
      <w:r>
        <w:br w:type="page"/>
      </w:r>
    </w:p>
    <w:p>
      <w:pPr>
        <w:keepNext/>
        <w:spacing w:before="360" w:after="120"/>
      </w:pPr>
      <w:r>
        <w:rPr>
          <w:rFonts w:ascii="Arial" w:hAnsi="Arial"/>
          <w:b/>
          <w:color w:val="2E7559"/>
          <w:sz w:val="32"/>
        </w:rPr>
        <w:t>SPECIAL REPORT: COMPREHENSIVE TECHNICAL RESPONSE TO JUNE 2 FEEDBACK</w:t>
      </w:r>
    </w:p>
    <w:p>
      <w:pPr>
        <w:spacing w:after="120" w:line="276" w:lineRule="auto"/>
      </w:pPr>
      <w:r>
        <w:t>Following the initial assessment by John ZHANG on June 2 (score 20/100), the AgriDoctor AI codebase and documentation were completely refactored to address all critical deficiencies. The table below outlines each assessor critique side-by-side with the concrete engineering changes and empirical validations implemented in this submission:</w:t>
      </w:r>
    </w:p>
    <w:tbl>
      <w:tblPr>
        <w:tblStyle w:val="TableGrid"/>
        <w:tblW w:type="auto" w:w="0"/>
        <w:tblLook w:firstColumn="1" w:firstRow="1" w:lastColumn="0" w:lastRow="0" w:noHBand="0" w:noVBand="1" w:val="04A0"/>
      </w:tblPr>
      <w:tblGrid>
        <w:gridCol w:w="3120"/>
        <w:gridCol w:w="3120"/>
        <w:gridCol w:w="3120"/>
      </w:tblGrid>
      <w:tr>
        <w:tc>
          <w:tcPr>
            <w:tcW w:type="dxa" w:w="3120"/>
            <w:shd w:fill="2E7559"/>
            <w:tcMar>
              <w:top w:w="120" w:type="dxa"/>
              <w:bottom w:w="120" w:type="dxa"/>
              <w:left w:w="150" w:type="dxa"/>
              <w:right w:w="150" w:type="dxa"/>
            </w:tcMar>
          </w:tcPr>
          <w:p>
            <w:r>
              <w:rPr>
                <w:b/>
                <w:color w:val="FFFFFF"/>
                <w:sz w:val="20"/>
              </w:rPr>
              <w:t>Assessor Critique (June 2)</w:t>
            </w:r>
          </w:p>
        </w:tc>
        <w:tc>
          <w:tcPr>
            <w:tcW w:type="dxa" w:w="3120"/>
            <w:shd w:fill="2E7559"/>
            <w:tcMar>
              <w:top w:w="120" w:type="dxa"/>
              <w:bottom w:w="120" w:type="dxa"/>
              <w:left w:w="150" w:type="dxa"/>
              <w:right w:w="150" w:type="dxa"/>
            </w:tcMar>
          </w:tcPr>
          <w:p>
            <w:r>
              <w:rPr>
                <w:b/>
                <w:color w:val="FFFFFF"/>
                <w:sz w:val="20"/>
              </w:rPr>
              <w:t>Technical Implementation Fixes</w:t>
            </w:r>
          </w:p>
        </w:tc>
        <w:tc>
          <w:tcPr>
            <w:tcW w:type="dxa" w:w="3120"/>
            <w:shd w:fill="2E7559"/>
            <w:tcMar>
              <w:top w:w="120" w:type="dxa"/>
              <w:bottom w:w="120" w:type="dxa"/>
              <w:left w:w="150" w:type="dxa"/>
              <w:right w:w="150" w:type="dxa"/>
            </w:tcMar>
          </w:tcPr>
          <w:p>
            <w:r>
              <w:rPr>
                <w:b/>
                <w:color w:val="FFFFFF"/>
                <w:sz w:val="20"/>
              </w:rPr>
              <w:t>Empirical Validation &amp; Proof</w:t>
            </w:r>
          </w:p>
        </w:tc>
      </w:tr>
      <w:tr>
        <w:tc>
          <w:tcPr>
            <w:tcW w:type="dxa" w:w="3120"/>
            <w:shd w:fill="F4F7F5"/>
            <w:tcMar>
              <w:top w:w="100" w:type="dxa"/>
              <w:bottom w:w="100" w:type="dxa"/>
              <w:left w:w="150" w:type="dxa"/>
              <w:right w:w="150" w:type="dxa"/>
            </w:tcMar>
          </w:tcPr>
          <w:p>
            <w:pPr>
              <w:spacing w:line="276" w:lineRule="auto"/>
            </w:pPr>
            <w:r>
              <w:rPr>
                <w:rFonts w:ascii="Arial" w:hAnsi="Arial"/>
                <w:sz w:val="18"/>
              </w:rPr>
              <w:t>"No AI models are used actually, the website only gives hard-coded mock predictions..."</w:t>
            </w:r>
          </w:p>
        </w:tc>
        <w:tc>
          <w:tcPr>
            <w:tcW w:type="dxa" w:w="3120"/>
            <w:shd w:fill="F4F7F5"/>
            <w:tcMar>
              <w:top w:w="100" w:type="dxa"/>
              <w:bottom w:w="100" w:type="dxa"/>
              <w:left w:w="150" w:type="dxa"/>
              <w:right w:w="150" w:type="dxa"/>
            </w:tcMar>
          </w:tcPr>
          <w:p>
            <w:pPr>
              <w:spacing w:line="276" w:lineRule="auto"/>
            </w:pPr>
            <w:r>
              <w:rPr>
                <w:rFonts w:ascii="Arial" w:hAnsi="Arial"/>
                <w:sz w:val="18"/>
              </w:rPr>
              <w:t>Completely deleted all mock functions. Integrated a two-tier hybrid architecture: (1) Local EfficientNet-B0 PyTorch classifier (trained on 21 classes) serving diagnoses offline; (2) Escalation tier querying a hosted Qwen3.6-27B Vision-Language Model on Groq LPUs.</w:t>
            </w:r>
          </w:p>
        </w:tc>
        <w:tc>
          <w:tcPr>
            <w:tcW w:type="dxa" w:w="3120"/>
            <w:shd w:fill="F4F7F5"/>
            <w:tcMar>
              <w:top w:w="100" w:type="dxa"/>
              <w:bottom w:w="100" w:type="dxa"/>
              <w:left w:w="150" w:type="dxa"/>
              <w:right w:w="150" w:type="dxa"/>
            </w:tcMar>
          </w:tcPr>
          <w:p>
            <w:pPr>
              <w:spacing w:line="276" w:lineRule="auto"/>
            </w:pPr>
            <w:r>
              <w:rPr>
                <w:rFonts w:ascii="Arial" w:hAnsi="Arial"/>
                <w:sz w:val="18"/>
              </w:rPr>
              <w:t>Live server responds to health check with `local_cnn.available: true` and loads `agridoctor_cnn.pt`. Evaluated on a 7,109-image held-out test split, achieving 99.79% accuracy.</w:t>
            </w:r>
          </w:p>
        </w:tc>
      </w:tr>
      <w:tr>
        <w:tc>
          <w:tcPr>
            <w:tcW w:type="dxa" w:w="3120"/>
            <w:shd w:fill="FFFFFF"/>
            <w:tcMar>
              <w:top w:w="100" w:type="dxa"/>
              <w:bottom w:w="100" w:type="dxa"/>
              <w:left w:w="150" w:type="dxa"/>
              <w:right w:w="150" w:type="dxa"/>
            </w:tcMar>
          </w:tcPr>
          <w:p>
            <w:pPr>
              <w:spacing w:line="276" w:lineRule="auto"/>
            </w:pPr>
            <w:r>
              <w:rPr>
                <w:rFonts w:ascii="Arial" w:hAnsi="Arial"/>
                <w:sz w:val="18"/>
              </w:rPr>
              <w:t>"Random image with no plants inside was used to test the system still give early blight..."</w:t>
            </w:r>
          </w:p>
        </w:tc>
        <w:tc>
          <w:tcPr>
            <w:tcW w:type="dxa" w:w="3120"/>
            <w:shd w:fill="FFFFFF"/>
            <w:tcMar>
              <w:top w:w="100" w:type="dxa"/>
              <w:bottom w:w="100" w:type="dxa"/>
              <w:left w:w="150" w:type="dxa"/>
              <w:right w:w="150" w:type="dxa"/>
            </w:tcMar>
          </w:tcPr>
          <w:p>
            <w:pPr>
              <w:spacing w:line="276" w:lineRule="auto"/>
            </w:pPr>
            <w:r>
              <w:rPr>
                <w:rFonts w:ascii="Arial" w:hAnsi="Arial"/>
                <w:sz w:val="18"/>
              </w:rPr>
              <w:t>Introduced two explicit out-of-scope reject classes inside the classifier: (1) `OOS_NOT_PLANT` to identify non-vegetation objects; (2) `OOS_OTHER_PLANT` to identify unsupported leaves. Deterministic server-side safety invariant matches outputs against a strict taxonomic schema.</w:t>
            </w:r>
          </w:p>
        </w:tc>
        <w:tc>
          <w:tcPr>
            <w:tcW w:type="dxa" w:w="3120"/>
            <w:shd w:fill="FFFFFF"/>
            <w:tcMar>
              <w:top w:w="100" w:type="dxa"/>
              <w:bottom w:w="100" w:type="dxa"/>
              <w:left w:w="150" w:type="dxa"/>
              <w:right w:w="150" w:type="dxa"/>
            </w:tcMar>
          </w:tcPr>
          <w:p>
            <w:pPr>
              <w:spacing w:line="276" w:lineRule="auto"/>
            </w:pPr>
            <w:r>
              <w:rPr>
                <w:rFonts w:ascii="Arial" w:hAnsi="Arial"/>
                <w:sz w:val="18"/>
              </w:rPr>
              <w:t>Uploading a photograph of a car triggers the local CNN `OOS_NOT_PLANT` class, returning a polite rejection (Scenario 4) within 24 milliseconds at zero network cost.</w:t>
            </w:r>
          </w:p>
        </w:tc>
      </w:tr>
      <w:tr>
        <w:tc>
          <w:tcPr>
            <w:tcW w:type="dxa" w:w="3120"/>
            <w:shd w:fill="F4F7F5"/>
            <w:tcMar>
              <w:top w:w="100" w:type="dxa"/>
              <w:bottom w:w="100" w:type="dxa"/>
              <w:left w:w="150" w:type="dxa"/>
              <w:right w:w="150" w:type="dxa"/>
            </w:tcMar>
          </w:tcPr>
          <w:p>
            <w:pPr>
              <w:spacing w:line="276" w:lineRule="auto"/>
            </w:pPr>
            <w:r>
              <w:rPr>
                <w:rFonts w:ascii="Arial" w:hAnsi="Arial"/>
                <w:sz w:val="18"/>
              </w:rPr>
              <w:t>"There's no evidence to support the claims (e.g. where does the number of 20 - 40% comes from?)"</w:t>
            </w:r>
          </w:p>
        </w:tc>
        <w:tc>
          <w:tcPr>
            <w:tcW w:type="dxa" w:w="3120"/>
            <w:shd w:fill="F4F7F5"/>
            <w:tcMar>
              <w:top w:w="100" w:type="dxa"/>
              <w:bottom w:w="100" w:type="dxa"/>
              <w:left w:w="150" w:type="dxa"/>
              <w:right w:w="150" w:type="dxa"/>
            </w:tcMar>
          </w:tcPr>
          <w:p>
            <w:pPr>
              <w:spacing w:line="276" w:lineRule="auto"/>
            </w:pPr>
            <w:r>
              <w:rPr>
                <w:rFonts w:ascii="Arial" w:hAnsi="Arial"/>
                <w:sz w:val="18"/>
              </w:rPr>
              <w:t>Conducted thorough literature review of agricultural blights, citing official Food and Agriculture Organization (FAO) reports and competitive analyses. Added 16 peer-reviewed academic citations.</w:t>
            </w:r>
          </w:p>
        </w:tc>
        <w:tc>
          <w:tcPr>
            <w:tcW w:type="dxa" w:w="3120"/>
            <w:shd w:fill="F4F7F5"/>
            <w:tcMar>
              <w:top w:w="100" w:type="dxa"/>
              <w:bottom w:w="100" w:type="dxa"/>
              <w:left w:w="150" w:type="dxa"/>
              <w:right w:w="150" w:type="dxa"/>
            </w:tcMar>
          </w:tcPr>
          <w:p>
            <w:pPr>
              <w:spacing w:line="276" w:lineRule="auto"/>
            </w:pPr>
            <w:r>
              <w:rPr>
                <w:rFonts w:ascii="Arial" w:hAnsi="Arial"/>
                <w:sz w:val="18"/>
              </w:rPr>
              <w:t>See FAO Newsroom reports detailed in Section 2.1 and formal academic references [7] and [8] in the bibliography.</w:t>
            </w:r>
          </w:p>
        </w:tc>
      </w:tr>
      <w:tr>
        <w:tc>
          <w:tcPr>
            <w:tcW w:type="dxa" w:w="3120"/>
            <w:shd w:fill="FFFFFF"/>
            <w:tcMar>
              <w:top w:w="100" w:type="dxa"/>
              <w:bottom w:w="100" w:type="dxa"/>
              <w:left w:w="150" w:type="dxa"/>
              <w:right w:w="150" w:type="dxa"/>
            </w:tcMar>
          </w:tcPr>
          <w:p>
            <w:pPr>
              <w:spacing w:line="276" w:lineRule="auto"/>
            </w:pPr>
            <w:r>
              <w:rPr>
                <w:rFonts w:ascii="Arial" w:hAnsi="Arial"/>
                <w:sz w:val="18"/>
              </w:rPr>
              <w:t>"You claimed that a multimodal fusion model is being used and trained, but your app just gave fake mock predictions."</w:t>
            </w:r>
          </w:p>
        </w:tc>
        <w:tc>
          <w:tcPr>
            <w:tcW w:type="dxa" w:w="3120"/>
            <w:shd w:fill="FFFFFF"/>
            <w:tcMar>
              <w:top w:w="100" w:type="dxa"/>
              <w:bottom w:w="100" w:type="dxa"/>
              <w:left w:w="150" w:type="dxa"/>
              <w:right w:w="150" w:type="dxa"/>
            </w:tcMar>
          </w:tcPr>
          <w:p>
            <w:pPr>
              <w:spacing w:line="276" w:lineRule="auto"/>
            </w:pPr>
            <w:r>
              <w:rPr>
                <w:rFonts w:ascii="Arial" w:hAnsi="Arial"/>
                <w:sz w:val="18"/>
              </w:rPr>
              <w:t>Separated the deployed hybrid routing production system from prior offline research prototypes in the text. Documented the real PyTorch training runs and saved curves directly to disk.</w:t>
            </w:r>
          </w:p>
        </w:tc>
        <w:tc>
          <w:tcPr>
            <w:tcW w:type="dxa" w:w="3120"/>
            <w:shd w:fill="FFFFFF"/>
            <w:tcMar>
              <w:top w:w="100" w:type="dxa"/>
              <w:bottom w:w="100" w:type="dxa"/>
              <w:left w:w="150" w:type="dxa"/>
              <w:right w:w="150" w:type="dxa"/>
            </w:tcMar>
          </w:tcPr>
          <w:p>
            <w:pPr>
              <w:spacing w:line="276" w:lineRule="auto"/>
            </w:pPr>
            <w:r>
              <w:rPr>
                <w:rFonts w:ascii="Arial" w:hAnsi="Arial"/>
                <w:sz w:val="18"/>
              </w:rPr>
              <w:t>Training curves (`training_curves.png`) and confusion matrices (`confusion_matrix.png`) committed to the repository. The ablation study in Section 4.6 logs a +8.3 F1 improvement using fusion.</w:t>
            </w:r>
          </w:p>
        </w:tc>
      </w:tr>
    </w:tbl>
    <w:p>
      <w:r>
        <w:br w:type="page"/>
      </w:r>
    </w:p>
    <w:p>
      <w:pPr>
        <w:keepNext/>
        <w:spacing w:before="360" w:after="120"/>
      </w:pPr>
      <w:r>
        <w:rPr>
          <w:rFonts w:ascii="Arial" w:hAnsi="Arial"/>
          <w:b/>
          <w:color w:val="2E7559"/>
          <w:sz w:val="32"/>
        </w:rPr>
        <w:t>2. EXECUTIVE SUMMARY / ABSTRACT</w:t>
      </w:r>
    </w:p>
    <w:p>
      <w:pPr>
        <w:spacing w:after="120" w:line="276" w:lineRule="auto"/>
      </w:pPr>
      <w:r>
        <w:t>AgriDoctor AI is an interactive, full-stack, mobile-first web application designed to act as a first-opinion diagnostic assistant for smallholder farmers dealing with crop pathologies and visible livestock health anomalies. The system allows farmers to capture leaf or animal skin images, supply optional vocal descriptions of symptoms, and receive immediate, structured botanical or veterinary recommendations.</w:t>
      </w:r>
    </w:p>
    <w:p>
      <w:pPr>
        <w:spacing w:after="120" w:line="276" w:lineRule="auto"/>
      </w:pPr>
      <w:r>
        <w:t>Traditional deep neural network classifiers suffer from severe out-of-distribution generalizability issues when deployed in complex field environments, and - more fundamentally - cannot decline: a conventional N-way classifier must assign one of its known labels to every input it is shown, including inputs that are not leaves at all. Conversely, unconstrained Vision-Language Models (VLMs) suffer from visual hallucinations, frequently mapping irrelevant noise to confident, incorrect agricultural advice, and in a hosted deployment they impose a per-request network dependency and rate limit that sit awkwardly with rural, intermittent connectivity.</w:t>
      </w:r>
    </w:p>
    <w:p>
      <w:pPr>
        <w:spacing w:after="120" w:line="276" w:lineRule="auto"/>
      </w:pPr>
      <w:r>
        <w:t>AgriDoctor addresses both failure modes with a two-tier engine behind a single deterministic safety layer. The primary tier is a locally trained EfficientNet-B0 classifier, trained not only on in-scope crop diseases but on two explicit out-of-scope classes - other plant species, and non-vegetation imagery - so that declining to answer is a first-class, learned outcome rather than a threshold applied after the fact. The classifier emits a routing decision: confident in-scope predictions are answered entirely offline with curated advice and a Grad-CAM explanation; confident non-plant inputs are rejected offline; everything else escalates to the hosted VLM. Escalation is a designed capability, since the project taxonomy spans eight crops and four livestock species while freely available training imagery exists for only four crops. Both tiers then pass through a server-side safety-invariant layer that validates every result against a rigid taxonomy, converting out-of-scope or low-confidence outputs into polite rejections.</w:t>
      </w:r>
    </w:p>
    <w:p>
      <w:pPr>
        <w:spacing w:after="120" w:line="276" w:lineRule="auto"/>
      </w:pPr>
      <w:r>
        <w:t>On a 7,109-image held-out test partition the deployed classifier reaches 0.9979 accuracy and 0.9976 macro-F1, with a post-calibration expected calibration error of 0.0016 and a false-acceptance rate on out-of-scope imagery of 0.0006 (0.06%). Median on-device inference is 24 milliseconds against a hosted round trip of several seconds under a roughly one-image-per-minute free-tier limit. The practical result is that the common case is diagnosed locally in well under a second with no API call, confining the hosted model's rate limit to requests that genuinely require it, while the system retains an honest account of what it does not know. As is standard for models trained on plain-background imagery, this clean-data accuracy overstates field performance; the report measures and discloses that gap directly through an eight-way image-corruption suite rather than leaving the headline figure unqualified.</w:t>
      </w:r>
    </w:p>
    <w:p>
      <w:pPr>
        <w:spacing w:after="120" w:line="276" w:lineRule="auto"/>
      </w:pPr>
      <w:r>
        <w:t>This portfolio documents the full research, development, and validation process of AgriDoctor: the deployed local classifier and its out-of-scope rejection design, its held-out evaluation including calibration, out-of-distribution detection and robustness to field-like image corruption, and two earlier offline experiments (a MobileNetV3 classifier reaching a 99.31% validation F1-score on clinical-condition imagery, and a ViT+DistilBERT cross-modal attention fusion prototype showing an 8.3-point macro-F1 gain via simulated speech integration). Finally, it outlines the production deployment of the safety-gated system on a secure VPS server at https://agridoctor.cloud.</w:t>
      </w:r>
    </w:p>
    <w:p>
      <w:pPr>
        <w:keepNext/>
        <w:spacing w:before="360" w:after="120"/>
      </w:pPr>
      <w:r>
        <w:rPr>
          <w:rFonts w:ascii="Arial" w:hAnsi="Arial"/>
          <w:b/>
          <w:color w:val="2E7559"/>
          <w:sz w:val="32"/>
        </w:rPr>
      </w:r>
    </w:p>
    <w:p>
      <w:pPr>
        <w:keepNext/>
        <w:spacing w:before="360" w:after="120"/>
      </w:pPr>
      <w:r>
        <w:rPr>
          <w:rFonts w:ascii="Arial" w:hAnsi="Arial"/>
          <w:b/>
          <w:color w:val="2E7559"/>
          <w:sz w:val="32"/>
        </w:rPr>
        <w:t>2. DEVELOPMENT PROCESS &amp; RESEARCH METHODOLOGY (FMP PART 1)</w:t>
      </w:r>
    </w:p>
    <w:p>
      <w:pPr>
        <w:keepNext/>
        <w:spacing w:before="240" w:after="80"/>
      </w:pPr>
      <w:r>
        <w:rPr>
          <w:rFonts w:ascii="Arial" w:hAnsi="Arial"/>
          <w:b/>
          <w:color w:val="2E7559"/>
          <w:sz w:val="25"/>
        </w:rPr>
        <w:t>2.1 Introduction &amp; The Socio-Economic Problem Space</w:t>
      </w:r>
    </w:p>
    <w:p>
      <w:pPr>
        <w:spacing w:after="120" w:line="276" w:lineRule="auto"/>
      </w:pPr>
      <w:r>
        <w:t>Smallholder farming is the economic backbone of developing agricultural regions, yet it is continuously threatened by crop blights, viral pathotypes, and livestock epidemics. The Food and Agriculture Organization of the United Nations (FAO) estimates that plant pests and diseases account for annual losses of 20% to 40% of global crop yields, costing the global agricultural economy roughly US$220 billion [7]. In many developing rural regions, the scarcity of certified agronomists and veterinarians means that farmers must travel long distances to seek consultation or buy expensive, unverified chemicals based on guesswork. A single misdiagnosis can lead to crop devastation, wasted pesticide expenses, and soil contamination.</w:t>
      </w:r>
    </w:p>
    <w:p>
      <w:pPr>
        <w:spacing w:after="120" w:line="276" w:lineRule="auto"/>
      </w:pPr>
      <w:r>
        <w:t>AgriDoctor AI was conceived to address this diagnostic barrier by placing a high-quality, safety-gated diagnostic tool directly into the hands of farmers via low-cost mobile devices.</w:t>
      </w:r>
    </w:p>
    <w:p>
      <w:pPr>
        <w:keepNext/>
        <w:spacing w:before="240" w:after="80"/>
      </w:pPr>
      <w:r>
        <w:rPr>
          <w:rFonts w:ascii="Arial" w:hAnsi="Arial"/>
          <w:b/>
          <w:color w:val="2E7559"/>
          <w:sz w:val="25"/>
        </w:rPr>
        <w:t>2.2 Theoretical Research: Computer Vision in Agriculture &amp; The Generalization Gap</w:t>
      </w:r>
    </w:p>
    <w:p>
      <w:pPr>
        <w:spacing w:after="120" w:line="276" w:lineRule="auto"/>
      </w:pPr>
      <w:r>
        <w:t>An extensive review of computer vision literature in agricultural pathology reveals that deep convolutional neural networks (CNNs) and Vision Transformers (ViTs) can achieve near-perfect classification scores in laboratory settings. The standard reference database is the public PlantVillage dataset [5], which consists of approximately 54,000 images of leaves taken against uniform gray backgrounds under controlled studio lighting.</w:t>
      </w:r>
    </w:p>
    <w:p>
      <w:pPr>
        <w:spacing w:after="120" w:line="276" w:lineRule="auto"/>
      </w:pPr>
      <w:r>
        <w:t>However, literature emphasizes the "generalization gap" or "domain shift" associated with models trained on PlantVillage. When a CNN trained on plain-background leaves is presented with a real field photo containing cluttered backgrounds (such as soil, weeds, shadows, or varying camera angles), its classification performance drops significantly. This degradation is due to the network learning the clinical context of the training set rather than the actual biological symptoms of the leaf.</w:t>
      </w:r>
    </w:p>
    <w:p>
      <w:pPr>
        <w:spacing w:after="120" w:line="276" w:lineRule="auto"/>
      </w:pPr>
      <w:r>
        <w:t>Therefore, a primary engineering requirement for AgriDoctor was to design a system that does not rely blindly on raw classification outputs. Instead, it must combine broad zero-shot multi-modal capability with strict boundary checks to filter out out-of-distribution noise.</w:t>
      </w:r>
    </w:p>
    <w:p>
      <w:pPr>
        <w:keepNext/>
        <w:spacing w:before="240" w:after="80"/>
      </w:pPr>
      <w:r>
        <w:rPr>
          <w:rFonts w:ascii="Arial" w:hAnsi="Arial"/>
          <w:b/>
          <w:color w:val="2E7559"/>
          <w:sz w:val="25"/>
        </w:rPr>
        <w:t>2.3 Market Analysis: Competitive Critique of Existing Solutions</w:t>
      </w:r>
    </w:p>
    <w:p>
      <w:pPr>
        <w:spacing w:after="120" w:line="276" w:lineRule="auto"/>
      </w:pPr>
      <w:r>
        <w:t>To understand where AgriDoctor fits, we conducted a competitive review of existing agricultural technologies:</w:t>
      </w:r>
    </w:p>
    <w:p>
      <w:pPr>
        <w:spacing w:after="80" w:line="276" w:lineRule="auto"/>
        <w:ind w:left="360"/>
      </w:pPr>
      <w:r>
        <w:rPr>
          <w:b/>
        </w:rPr>
        <w:t>• Plantix [9]:</w:t>
      </w:r>
      <w:r/>
    </w:p>
    <w:p>
      <w:pPr>
        <w:spacing w:after="80" w:line="276" w:lineRule="auto"/>
        <w:ind w:left="360"/>
      </w:pPr>
      <w:r>
        <w:rPr>
          <w:b/>
        </w:rPr>
        <w:t>• Tech Approach:</w:t>
      </w:r>
      <w:r>
        <w:t xml:space="preserve"> Proprietary deep learning image classifier + social community.</w:t>
      </w:r>
    </w:p>
    <w:p>
      <w:pPr>
        <w:spacing w:after="80" w:line="276" w:lineRule="auto"/>
        <w:ind w:left="360"/>
      </w:pPr>
      <w:r>
        <w:rPr>
          <w:b/>
        </w:rPr>
        <w:t>• Scale &amp; Scope:</w:t>
      </w:r>
      <w:r>
        <w:t xml:space="preserve"> 10M+ downloads, 60+ crops, 800+ symptoms, multilingual.</w:t>
      </w:r>
    </w:p>
    <w:p>
      <w:pPr>
        <w:spacing w:after="80" w:line="276" w:lineRule="auto"/>
        <w:ind w:left="360"/>
      </w:pPr>
      <w:r>
        <w:rPr>
          <w:b/>
        </w:rPr>
        <w:t>• Strengths:</w:t>
      </w:r>
      <w:r>
        <w:t xml:space="preserve"> Largest curated database of real field images, excellent commercial scale.</w:t>
      </w:r>
    </w:p>
    <w:p>
      <w:pPr>
        <w:spacing w:after="80" w:line="276" w:lineRule="auto"/>
        <w:ind w:left="360"/>
      </w:pPr>
      <w:r>
        <w:rPr>
          <w:b/>
        </w:rPr>
        <w:t>• Limitation/Relevance:</w:t>
      </w:r>
      <w:r>
        <w:t xml:space="preserve"> Highly specialized and capital-intensive. AgriDoctor does not seek to compete with Plantix's massive dataset, but adopts its clean interaction model while introducing a robust, open safety-invariant layer.</w:t>
      </w:r>
    </w:p>
    <w:p>
      <w:pPr>
        <w:spacing w:after="80" w:line="276" w:lineRule="auto"/>
        <w:ind w:left="360"/>
      </w:pPr>
      <w:r>
        <w:rPr>
          <w:b/>
        </w:rPr>
        <w:t>• PlantNet:</w:t>
      </w:r>
      <w:r/>
    </w:p>
    <w:p>
      <w:pPr>
        <w:spacing w:after="80" w:line="276" w:lineRule="auto"/>
        <w:ind w:left="360"/>
      </w:pPr>
      <w:r>
        <w:rPr>
          <w:b/>
        </w:rPr>
        <w:t>• Tech Approach:</w:t>
      </w:r>
      <w:r>
        <w:t xml:space="preserve"> Crowd-sourced species classification using CNNs.</w:t>
      </w:r>
    </w:p>
    <w:p>
      <w:pPr>
        <w:spacing w:after="80" w:line="276" w:lineRule="auto"/>
        <w:ind w:left="360"/>
      </w:pPr>
      <w:r>
        <w:rPr>
          <w:b/>
        </w:rPr>
        <w:t>• Scale &amp; Scope:</w:t>
      </w:r>
      <w:r>
        <w:t xml:space="preserve"> Global wild flora identification.</w:t>
      </w:r>
    </w:p>
    <w:p>
      <w:pPr>
        <w:spacing w:after="80" w:line="276" w:lineRule="auto"/>
        <w:ind w:left="360"/>
      </w:pPr>
      <w:r>
        <w:rPr>
          <w:b/>
        </w:rPr>
        <w:t>• Strengths:</w:t>
      </w:r>
      <w:r>
        <w:t xml:space="preserve"> Highly accurate at botanical species and genus identification.</w:t>
      </w:r>
    </w:p>
    <w:p>
      <w:pPr>
        <w:spacing w:after="80" w:line="276" w:lineRule="auto"/>
        <w:ind w:left="360"/>
      </w:pPr>
      <w:r>
        <w:rPr>
          <w:b/>
        </w:rPr>
        <w:t>• Limitation/Relevance:</w:t>
      </w:r>
      <w:r>
        <w:t xml:space="preserve"> Focuses on botanical species identification rather than specific disease pathologies. It highlights the value of species gating to ensure the leaf is actually a supported crop before attempting disease classification.</w:t>
      </w:r>
    </w:p>
    <w:p>
      <w:pPr>
        <w:spacing w:after="80" w:line="276" w:lineRule="auto"/>
        <w:ind w:left="360"/>
      </w:pPr>
      <w:r>
        <w:t>• General VLMs (e.g., Qwen-Vision, LLaVA, GPT-4o):</w:t>
      </w:r>
    </w:p>
    <w:p>
      <w:pPr>
        <w:spacing w:after="80" w:line="276" w:lineRule="auto"/>
        <w:ind w:left="360"/>
      </w:pPr>
      <w:r>
        <w:rPr>
          <w:b/>
        </w:rPr>
        <w:t>• Tech Approach:</w:t>
      </w:r>
      <w:r>
        <w:t xml:space="preserve"> Large-scale vision-language models.</w:t>
      </w:r>
    </w:p>
    <w:p>
      <w:pPr>
        <w:spacing w:after="80" w:line="276" w:lineRule="auto"/>
        <w:ind w:left="360"/>
      </w:pPr>
      <w:r>
        <w:rPr>
          <w:b/>
        </w:rPr>
        <w:t>• Scale &amp; Scope:</w:t>
      </w:r>
      <w:r>
        <w:t xml:space="preserve"> General multi-modal reasoning.</w:t>
      </w:r>
    </w:p>
    <w:p>
      <w:pPr>
        <w:spacing w:after="80" w:line="276" w:lineRule="auto"/>
        <w:ind w:left="360"/>
      </w:pPr>
      <w:r>
        <w:rPr>
          <w:b/>
        </w:rPr>
        <w:t>• Strengths:</w:t>
      </w:r>
      <w:r>
        <w:t xml:space="preserve"> Zero-shot performance on diverse visual data, context synthesis, conversational advice.</w:t>
      </w:r>
    </w:p>
    <w:p>
      <w:pPr>
        <w:spacing w:after="80" w:line="276" w:lineRule="auto"/>
        <w:ind w:left="360"/>
      </w:pPr>
      <w:r>
        <w:rPr>
          <w:b/>
        </w:rPr>
        <w:t>• Limitation/Relevance:</w:t>
      </w:r>
      <w:r>
        <w:t xml:space="preserve"> No safety constraints. These models will confidently diagnose a disease on an image of a leaf-shaped car or a dog. AgriDoctor wraps these engines in a deterministic server-side safety filter.</w:t>
      </w:r>
    </w:p>
    <w:p>
      <w:pPr>
        <w:keepNext/>
        <w:spacing w:before="240" w:after="80"/>
      </w:pPr>
      <w:r>
        <w:rPr>
          <w:rFonts w:ascii="Arial" w:hAnsi="Arial"/>
          <w:b/>
          <w:color w:val="2E7559"/>
          <w:sz w:val="25"/>
        </w:rPr>
        <w:t>2.4 Core Evolution: From Hard-Coded Monolith to Local-First Safety-Gated Runtime</w:t>
      </w:r>
    </w:p>
    <w:p>
      <w:pPr>
        <w:spacing w:after="120" w:line="276" w:lineRule="auto"/>
      </w:pPr>
      <w:r>
        <w:t>The development of AgriDoctor went through four primary design iterations:</w:t>
      </w:r>
    </w:p>
    <w:p>
      <w:pPr>
        <w:spacing w:after="120" w:line="276" w:lineRule="auto"/>
      </w:pPr>
      <w:r>
        <w:rPr>
          <w:b/>
        </w:rPr>
        <w:t>1. Version 1.0 (Mock Prototype):</w:t>
      </w:r>
      <w:r>
        <w:t xml:space="preserve"> An early layout that returned static, hard-coded advice based purely on the selected crop button. If the user clicked "Tomato," it returned early blight regardless of the uploaded image. This was an honest limitation that failed to represent real AI.</w:t>
      </w:r>
    </w:p>
    <w:p>
      <w:pPr>
        <w:keepNext/>
        <w:spacing w:before="240" w:after="80"/>
      </w:pPr>
      <w:r>
        <w:rPr>
          <w:rFonts w:ascii="Arial" w:hAnsi="Arial"/>
          <w:b/>
          <w:color w:val="2E7559"/>
          <w:sz w:val="25"/>
        </w:rPr>
        <w:t>2. Version 2.0 (Unconstrained VLM): The backend was rewritten to pipe images to a hosted vision-language model. While this added real inference, testing revealed that the model was overly cooperative: if a user selected "Tomato" but uploaded a picture of a grape leaf, the VLM forced a diagnosis of tomato early blight, exhibiting severe confirmation bias.</w:t>
      </w:r>
    </w:p>
    <w:p>
      <w:pPr>
        <w:keepNext/>
        <w:spacing w:before="240" w:after="80"/>
      </w:pPr>
      <w:r>
        <w:rPr>
          <w:rFonts w:ascii="Arial" w:hAnsi="Arial"/>
          <w:b/>
          <w:color w:val="2E7559"/>
          <w:sz w:val="25"/>
        </w:rPr>
        <w:t>3. Version 3.0 (Safety-Gated VLM Framework): This version implemented a dual-stage architecture. The frontend crop buttons are used only as hints. The backend VLM is queried without locking the crop type, and the VLM's JSON response is filtered through a deterministic server-side validator. This validator checks the predicted crop and disease label against a strict local taxonomy, rejecting out-of-scope images and correcting hallucinated combinations. Two limitations remained. First, every diagnosis required a network round-trip to a rate-limited free API tier (approximately one image per minute), which is a poor fit for the intended rural, intermittent-connectivity user. Second, the system had no independently trained model of its own; its perception was entirely delegated to a third-party endpoint that can be retired or repriced at any time.</w:t>
      </w:r>
    </w:p>
    <w:p>
      <w:pPr>
        <w:keepNext/>
        <w:spacing w:before="240" w:after="80"/>
      </w:pPr>
      <w:r>
        <w:rPr>
          <w:rFonts w:ascii="Arial" w:hAnsi="Arial"/>
          <w:b/>
          <w:color w:val="2E7559"/>
          <w:sz w:val="25"/>
        </w:rPr>
        <w:t>4. Version 4.0 (Local-First Two-Tier Engine - Deployed): The current version makes a locally trained convolutional neural network the primary diagnosis engine, retaining the hosted VLM as an escalation tier. The critical design problem was that a conventional N-way classifier cannot decline: presented with a photograph of a car, a 19-class softmax must still distribute probability across nineteen crop diseases and will report one of them confidently. This is precisely why the local classifier in Version 3.0 was implemented but left disabled - enabling it would have bypassed the safety layer that justified the whole architecture.</w:t>
      </w:r>
    </w:p>
    <w:p>
      <w:pPr>
        <w:spacing w:after="120" w:line="276" w:lineRule="auto"/>
      </w:pPr>
      <w:r>
        <w:t>The resolution was to train the network with two explicit out-of-scope classes rather than treating rejection as a post-hoc thresholding problem:</w:t>
      </w:r>
    </w:p>
    <w:p>
      <w:pPr>
        <w:spacing w:after="80" w:line="276" w:lineRule="auto"/>
        <w:ind w:left="360"/>
      </w:pPr>
      <w:r>
        <w:t>• OOS_OTHER_PLANT, populated with real leaf images of the nineteen crop species in the source dataset that AgriDoctor does not support (apple, grape, orange, soybean, and others);</w:t>
      </w:r>
    </w:p>
    <w:p>
      <w:pPr>
        <w:spacing w:after="80" w:line="276" w:lineRule="auto"/>
        <w:ind w:left="360"/>
      </w:pPr>
      <w:r>
        <w:t>• OOS_NOT_PLANT, populated with non-vegetation photographs drawn from a general object-recognition corpus.</w:t>
      </w:r>
    </w:p>
    <w:p>
      <w:pPr>
        <w:spacing w:after="120" w:line="276" w:lineRule="auto"/>
      </w:pPr>
      <w:r>
        <w:t>The classifier therefore emits a routing decision rather than an unconditional label. A confident in-scope prediction is answered locally with no network call; a confident non-plant prediction is rejected locally with no network call; anything else - an unfamiliar species, or a prediction that clears neither the calibrated-confidence nor the top-two-margin test - is escalated to the hosted VLM. Escalation is a designed capability rather than a failure path, because the taxonomy deliberately covers eight crops and four livestock species while the public training corpus contains images for only four crops. Rice, chili, cucumber, eggplant and all livestock cannot be learned from freely available data and are therefore routed to the VLM by design.</w:t>
      </w:r>
    </w:p>
    <w:p>
      <w:pPr>
        <w:spacing w:after="120" w:line="276" w:lineRule="auto"/>
      </w:pPr>
      <w:r>
        <w:t>The practical consequence is that the common case - a tomato or potato leaf - is diagnosed offline in well under a second and never consumes API quota, so the rate limit applies only to requests that genuinely require the larger model. The deterministic server-side invariant layer from Version 3.0 is retained unchanged and every path, local and hosted alike, still exits through it.</w:t>
      </w:r>
    </w:p>
    <w:p>
      <w:pPr>
        <w:keepNext/>
        <w:spacing w:before="360" w:after="120"/>
      </w:pPr>
      <w:r>
        <w:rPr>
          <w:rFonts w:ascii="Arial" w:hAnsi="Arial"/>
          <w:b/>
          <w:color w:val="2E7559"/>
          <w:sz w:val="32"/>
        </w:rPr>
      </w:r>
    </w:p>
    <w:p>
      <w:pPr>
        <w:keepNext/>
        <w:spacing w:before="360" w:after="120"/>
      </w:pPr>
      <w:r>
        <w:rPr>
          <w:rFonts w:ascii="Arial" w:hAnsi="Arial"/>
          <w:b/>
          <w:color w:val="2E7559"/>
          <w:sz w:val="32"/>
        </w:rPr>
        <w:t>3. SYSTEM ARCHITECTURE &amp; TECHNICAL DESCRIPTION (FMP PART 2)</w:t>
      </w:r>
    </w:p>
    <w:p>
      <w:pPr>
        <w:keepNext/>
        <w:spacing w:before="240" w:after="80"/>
      </w:pPr>
      <w:r>
        <w:rPr>
          <w:rFonts w:ascii="Arial" w:hAnsi="Arial"/>
          <w:b/>
          <w:color w:val="2E7559"/>
          <w:sz w:val="25"/>
        </w:rPr>
        <w:t>3.1 Decoupled Client-Server Stack &amp; Mobile PWA Features</w:t>
      </w:r>
    </w:p>
    <w:p>
      <w:pPr>
        <w:spacing w:after="120" w:line="276" w:lineRule="auto"/>
      </w:pPr>
      <w:r>
        <w:t>AgriDoctor is structured as a decoupled client-server architecture:</w:t>
      </w:r>
    </w:p>
    <w:p>
      <w:pPr>
        <w:spacing w:after="80" w:line="276" w:lineRule="auto"/>
        <w:ind w:left="360"/>
      </w:pPr>
      <w:r>
        <w:rPr>
          <w:b/>
        </w:rPr>
        <w:t>• Frontend (Progressive Web App):</w:t>
      </w:r>
      <w:r/>
    </w:p>
    <w:p>
      <w:pPr>
        <w:spacing w:after="80" w:line="276" w:lineRule="auto"/>
        <w:ind w:left="360"/>
      </w:pPr>
      <w:r>
        <w:rPr>
          <w:b/>
        </w:rPr>
        <w:t>• Build System:</w:t>
      </w:r>
      <w:r>
        <w:t xml:space="preserve"> Buildless vanilla HTML5, CSS3, and JavaScript, ensuring rapid rendering and compatibility with low-end mobile devices in rural areas.</w:t>
      </w:r>
    </w:p>
    <w:p>
      <w:pPr>
        <w:spacing w:after="80" w:line="276" w:lineRule="auto"/>
        <w:ind w:left="360"/>
      </w:pPr>
      <w:r>
        <w:rPr>
          <w:b/>
        </w:rPr>
        <w:t>• Media API Integration:</w:t>
      </w:r>
      <w:r>
        <w:t xml:space="preserve"> Uses the browser's native MediaDevices API to capture high-resolution leaf images directly from the phone's back camera. It integrates the MediaRecorder API to capture audio symptom notes, packaging them into a standard WebM container.</w:t>
      </w:r>
    </w:p>
    <w:p>
      <w:pPr>
        <w:spacing w:after="80" w:line="276" w:lineRule="auto"/>
        <w:ind w:left="360"/>
      </w:pPr>
      <w:r>
        <w:rPr>
          <w:b/>
        </w:rPr>
        <w:t>• Responsive Styling:</w:t>
      </w:r>
      <w:r>
        <w:t xml:space="preserve"> Built with dynamic CSS variables to support light and dark modes, utilizing a fluid grid system optimized for small mobile screens.</w:t>
      </w:r>
    </w:p>
    <w:p>
      <w:pPr>
        <w:spacing w:after="80" w:line="276" w:lineRule="auto"/>
        <w:ind w:left="360"/>
      </w:pPr>
      <w:r>
        <w:rPr>
          <w:b/>
        </w:rPr>
        <w:t>• Backend Service (FastAPI &amp; SQLite):</w:t>
      </w:r>
      <w:r/>
    </w:p>
    <w:p>
      <w:pPr>
        <w:spacing w:after="80" w:line="276" w:lineRule="auto"/>
        <w:ind w:left="360"/>
      </w:pPr>
      <w:r>
        <w:rPr>
          <w:b/>
        </w:rPr>
        <w:t>• Framework:</w:t>
      </w:r>
      <w:r>
        <w:t xml:space="preserve"> FastAPI running on Uvicorn. Exposes a unified `POST /api/analyze` endpoint.</w:t>
      </w:r>
    </w:p>
    <w:p>
      <w:pPr>
        <w:spacing w:after="80" w:line="276" w:lineRule="auto"/>
        <w:ind w:left="360"/>
      </w:pPr>
      <w:r>
        <w:rPr>
          <w:b/>
        </w:rPr>
        <w:t>• State Management:</w:t>
      </w:r>
      <w:r>
        <w:t xml:space="preserve"> Uses JWT tokens with PBKDF2 password hashing for optional user accounts. If a user is authenticated, their case history is written to an SQLite database; otherwise, the endpoint allows anonymous, rate-limited public diagnostic requests.</w:t>
      </w:r>
    </w:p>
    <w:p>
      <w:pPr>
        <w:keepNext/>
        <w:spacing w:before="240" w:after="80"/>
      </w:pPr>
      <w:r>
        <w:rPr>
          <w:rFonts w:ascii="Arial" w:hAnsi="Arial"/>
          <w:b/>
          <w:color w:val="2E7559"/>
          <w:sz w:val="25"/>
        </w:rPr>
        <w:t>3.2 End-to-End Processing Mechanism &amp; Flow Diagram</w:t>
      </w:r>
    </w:p>
    <w:p>
      <w:pPr>
        <w:spacing w:after="120" w:line="276" w:lineRule="auto"/>
      </w:pPr>
      <w:r>
        <w:t>When a farmer submits a diagnosis request, the data travels through the following pipeline:</w:t>
      </w:r>
    </w:p>
    <w:p>
      <w:pPr>
        <w:spacing w:after="120" w:line="276" w:lineRule="auto"/>
      </w:pPr>
      <w:r>
        <w:rPr>
          <w:b/>
        </w:rPr>
        <w:t>1. Request Submission:</w:t>
      </w:r>
      <w:r>
        <w:t xml:space="preserve"> The farmer uploads a leaf image and optionally records a voice note. The PWA packages the binary payloads into a `multipart/form-data` request and sends it via POST to the backend.</w:t>
      </w:r>
    </w:p>
    <w:p>
      <w:pPr>
        <w:keepNext/>
        <w:spacing w:before="240" w:after="80"/>
      </w:pPr>
      <w:r>
        <w:rPr>
          <w:rFonts w:ascii="Arial" w:hAnsi="Arial"/>
          <w:b/>
          <w:color w:val="2E7559"/>
          <w:sz w:val="25"/>
        </w:rPr>
        <w:t>2. Binary Validation: The backend validates the uploaded image. The file's byte signature is inspected, and Pillow attempts to re-decode the image to filter out malformed files or potential security exploits.</w:t>
      </w:r>
    </w:p>
    <w:p>
      <w:pPr>
        <w:keepNext/>
        <w:spacing w:before="240" w:after="80"/>
      </w:pPr>
      <w:r>
        <w:rPr>
          <w:rFonts w:ascii="Arial" w:hAnsi="Arial"/>
          <w:b/>
          <w:color w:val="2E7559"/>
          <w:sz w:val="25"/>
        </w:rPr>
        <w:t>3. Local CNN Inference (Tier 1): The validated image is passed to the locally hosted EfficientNet-B0 classifier (`backend/ai/cnn_predictor.py`). The image is centre-cropped to 224x224, evaluated together with its horizontal mirror (test-time augmentation), and the averaged logits are divided by a temperature constant fitted on the validation split before the softmax. Temperature scaling matters operationally rather than cosmetically: the raw softmax of a fine-tuned CNN is systematically overconfident, and the routing decision below thresholds this value directly. The classifier returns one of three decisions:</w:t>
      </w:r>
    </w:p>
    <w:p>
      <w:pPr>
        <w:spacing w:after="80" w:line="276" w:lineRule="auto"/>
        <w:ind w:left="360"/>
      </w:pPr>
      <w:r>
        <w:t>• diagnosis - the top class is in scope, its calibrated confidence exceeds the configured threshold, and its margin over the runner-up exceeds a second threshold;</w:t>
      </w:r>
    </w:p>
    <w:p>
      <w:pPr>
        <w:spacing w:after="80" w:line="276" w:lineRule="auto"/>
        <w:ind w:left="360"/>
      </w:pPr>
      <w:r>
        <w:t>• not_plant - the top class is OOS_NOT_PLANT with sufficient confidence;</w:t>
      </w:r>
    </w:p>
    <w:p>
      <w:pPr>
        <w:spacing w:after="80" w:line="276" w:lineRule="auto"/>
        <w:ind w:left="360"/>
      </w:pPr>
      <w:r>
        <w:t>• escalate - the top class is OOS_OTHER_PLANT, or neither confidence test is satisfied.</w:t>
      </w:r>
    </w:p>
    <w:p>
      <w:pPr>
        <w:keepNext/>
        <w:spacing w:before="240" w:after="80"/>
      </w:pPr>
      <w:r>
        <w:rPr>
          <w:rFonts w:ascii="Arial" w:hAnsi="Arial"/>
          <w:b/>
          <w:color w:val="2E7559"/>
          <w:sz w:val="25"/>
        </w:rPr>
        <w:t>4. Local Resolution (no network): For a `diagnosis` decision, treatment advice is retrieved from a curated offline knowledge base keyed by taxonomy label (`backend/ai/local_advice.py`) rather than generated by a language model, and a Grad-CAM heatmap is computed showing which pixels drove the prediction. For a `not_plant` decision the request is rejected immediately. Neither path performs any network I/O, and neither is subject to any API rate limit.</w:t>
      </w:r>
    </w:p>
    <w:p>
      <w:pPr>
        <w:keepNext/>
        <w:spacing w:before="240" w:after="80"/>
      </w:pPr>
      <w:r>
        <w:rPr>
          <w:rFonts w:ascii="Arial" w:hAnsi="Arial"/>
          <w:b/>
          <w:color w:val="2E7559"/>
          <w:sz w:val="25"/>
        </w:rPr>
        <w:t>5. Speech Transcription and VLM Inference (Tier 2, only when escalating): If the CNN escalated, and only then, any audio is transcribed by the Groq-hosted Whisper API (`whisper-large-v3-turbo`), and the image, transcript and user notes are assembled into a constrained system prompt. The prompt forces the VLM (`qwen/qwen3.6-27b` served on Groq) to reason strictly from visible characteristics and return a structured JSON response. Reasoning output is suppressed (`reasoning_effort="none"`) to guarantee low latency. If no API key is configured, the request instead returns an explicit low-confidence result; the system never fabricates a diagnosis to fill the gap.</w:t>
      </w:r>
    </w:p>
    <w:p>
      <w:pPr>
        <w:keepNext/>
        <w:spacing w:before="240" w:after="80"/>
      </w:pPr>
      <w:r>
        <w:rPr>
          <w:rFonts w:ascii="Arial" w:hAnsi="Arial"/>
          <w:b/>
          <w:color w:val="2E7559"/>
          <w:sz w:val="25"/>
        </w:rPr>
        <w:t>6. Invariant Checks: The result - whether produced locally or by the VLM - is passed to the safety-invariant layer, which validates the taxonomy mappings.</w:t>
      </w:r>
    </w:p>
    <w:p>
      <w:pPr>
        <w:keepNext/>
        <w:spacing w:before="240" w:after="80"/>
      </w:pPr>
      <w:r>
        <w:rPr>
          <w:rFonts w:ascii="Arial" w:hAnsi="Arial"/>
          <w:b/>
          <w:color w:val="2E7559"/>
          <w:sz w:val="25"/>
        </w:rPr>
        <w:t>7. DB Writing &amp; Client Response: If the user is logged in, the metadata is saved to the SQLite database. The sanitized JSON object is returned to the client and rendered dynamically on the UI.</w:t>
      </w:r>
    </w:p>
    <w:p>
      <w:pPr>
        <w:spacing w:before="120" w:after="120" w:line="240" w:lineRule="auto"/>
        <w:ind w:left="576"/>
        <w:shd w:fill="F8F9FA"/>
      </w:pPr>
      <w:r>
        <w:rPr>
          <w:rFonts w:ascii="Consolas" w:hAnsi="Consolas"/>
          <w:color w:val="212529"/>
          <w:sz w:val="18"/>
        </w:rPr>
        <w:t>+------------------+      POST /api/analyze      +--------------------+</w:t>
        <w:br/>
        <w:t>|  PWA Client      |----------------------------&gt;| FastAPI Backend    |</w:t>
        <w:br/>
        <w:t>|  (Leaf + Voice)  |                             | (Uvicorn Server)   |</w:t>
        <w:br/>
        <w:t>+------------------+                             +--------------------+</w:t>
        <w:br/>
        <w:t xml:space="preserve">         ^                                                 |</w:t>
        <w:br/>
        <w:t xml:space="preserve">         |                                                 | 1. Binary check</w:t>
        <w:br/>
        <w:t xml:space="preserve">         |                                                 v</w:t>
        <w:br/>
        <w:t xml:space="preserve">         |                                    +----------------------------+</w:t>
        <w:br/>
        <w:t xml:space="preserve">         |                                    | TIER 1: LOCAL CNN          |</w:t>
        <w:br/>
        <w:t xml:space="preserve">         |                                    | EfficientNet-B0, 21 classes|</w:t>
        <w:br/>
        <w:t xml:space="preserve">         |                                    | (19 in-scope + 2 reject)   |</w:t>
        <w:br/>
        <w:t xml:space="preserve">         |                                    | TTA + temperature scaling  |</w:t>
        <w:br/>
        <w:t xml:space="preserve">         |                                    +----------------------------+</w:t>
        <w:br/>
        <w:t xml:space="preserve">         |                                       |        |            |</w:t>
        <w:br/>
        <w:t xml:space="preserve">         |                            confident  |   not a|plant       | escalate</w:t>
        <w:br/>
        <w:t xml:space="preserve">         |                            in-scope   |        |            |</w:t>
        <w:br/>
        <w:t xml:space="preserve">         |                                       v        v            v</w:t>
        <w:br/>
        <w:t xml:space="preserve">         |                          +-------------+  +---------+  +--------------------+</w:t>
        <w:br/>
        <w:t xml:space="preserve">         |                          | Offline     |  | Reject  |  | TIER 2: HOSTED VLM |</w:t>
        <w:br/>
        <w:t xml:space="preserve">         |                          | advice base |  | locally |  | Whisper ASR -&gt;     |</w:t>
        <w:br/>
        <w:t xml:space="preserve">         |                          | + Grad-CAM  |  |         |  | Groq Qwen VLM      |</w:t>
        <w:br/>
        <w:t xml:space="preserve">         |                          | NO NETWORK  |  |NO NETWRK|  | (only path using   |</w:t>
        <w:br/>
        <w:t xml:space="preserve">         |                          +-------------+  +---------+  |  API quota)        |</w:t>
        <w:br/>
        <w:t xml:space="preserve">         |                                  |             |       +--------------------+</w:t>
        <w:br/>
        <w:t xml:space="preserve">         |                                  |             |            |</w:t>
        <w:br/>
        <w:t xml:space="preserve">         |                                  v             v            v</w:t>
        <w:br/>
        <w:t xml:space="preserve">         |                                +--------------------------------+</w:t>
        <w:br/>
        <w:t xml:space="preserve">         |                                | Safety-Invariant Gating Layer  |</w:t>
        <w:br/>
        <w:t xml:space="preserve">         |                                | (every path exits through here)|</w:t>
        <w:br/>
        <w:t xml:space="preserve">         |                                +--------------------------------+</w:t>
        <w:br/>
        <w:t xml:space="preserve">         |                                                 |</w:t>
        <w:br/>
        <w:t xml:space="preserve">         |             Unified JSON Response               | 5. Validate or Reject</w:t>
        <w:br/>
        <w:t xml:space="preserve">         +-------------------------------------------------+</w:t>
      </w:r>
    </w:p>
    <w:p>
      <w:pPr>
        <w:spacing w:after="120" w:line="276" w:lineRule="auto"/>
      </w:pPr>
      <w:r>
        <w:t>It is worth stating explicitly that the two rejection mechanisms in this diagram are not redundant, because they fail in different ways. The CNN's out-of-scope classes are a learned, probabilistic judgement made by the model itself, and like any learned component they can be wrong on inputs unlike anything in training. The invariant layer is a deterministic table lookup that cannot be wrong in that sense, but it can only reject what the model has already declared - it validates a claimed subject and label, and cannot detect that a confidently claimed "tomato" is in fact a photograph of a wall. Each therefore catches a class of error the other structurally cannot, which is why both are retained.</w:t>
      </w:r>
    </w:p>
    <w:p>
      <w:pPr>
        <w:keepNext/>
        <w:spacing w:before="240" w:after="80"/>
      </w:pPr>
      <w:r>
        <w:rPr>
          <w:rFonts w:ascii="Arial" w:hAnsi="Arial"/>
          <w:b/>
          <w:color w:val="2E7559"/>
          <w:sz w:val="25"/>
        </w:rPr>
        <w:t>3.3 Asynchronous API Verification &amp; Image Spoofing Countermeasures</w:t>
      </w:r>
    </w:p>
    <w:p>
      <w:pPr>
        <w:spacing w:after="120" w:line="276" w:lineRule="auto"/>
      </w:pPr>
      <w:r>
        <w:t>To prevent service misuse and coordinate API limits, the FastAPI backend applies defensive measures:</w:t>
      </w:r>
    </w:p>
    <w:p>
      <w:pPr>
        <w:spacing w:after="80" w:line="276" w:lineRule="auto"/>
        <w:ind w:left="360"/>
      </w:pPr>
      <w:r>
        <w:rPr>
          <w:b/>
        </w:rPr>
        <w:t>• PIL Image Re-decoding:</w:t>
      </w:r>
      <w:r>
        <w:t xml:space="preserve"> Rather than trusting the user-provided MIME type or file extension (e.g., `.jpg`), the backend reads the image bytes into a file stream and passes it to Pillow's `Image.open()`. Pillow reads the internal image headers, verifies the format, and re-saves it. This step strips hidden executable payloads and rejects spoofed files.</w:t>
      </w:r>
    </w:p>
    <w:p>
      <w:pPr>
        <w:spacing w:after="80" w:line="276" w:lineRule="auto"/>
        <w:ind w:left="360"/>
      </w:pPr>
      <w:r>
        <w:rPr>
          <w:b/>
        </w:rPr>
        <w:t>• Rate Limiting:</w:t>
      </w:r>
      <w:r>
        <w:t xml:space="preserve"> An in-memory token bucket rate limiter tracks requests per IP. If the hosted API tier throws a 429 rate limit exception, the backend catches it and returns a clean `503 Service Unavailable` message ("AI service is busy, please wait 30 seconds") rather than crashing or returning a generic server error.</w:t>
      </w:r>
    </w:p>
    <w:p>
      <w:pPr>
        <w:keepNext/>
        <w:spacing w:before="240" w:after="80"/>
      </w:pPr>
      <w:r>
        <w:rPr>
          <w:rFonts w:ascii="Arial" w:hAnsi="Arial"/>
          <w:b/>
          <w:color w:val="2E7559"/>
          <w:sz w:val="25"/>
        </w:rPr>
        <w:t>3.4 The Safety-Invariant Gating Layer: Logical &amp; Mathematical Formulation</w:t>
      </w:r>
    </w:p>
    <w:p>
      <w:pPr>
        <w:spacing w:after="120" w:line="276" w:lineRule="auto"/>
      </w:pPr>
      <w:r>
        <w:t>The safety-invariant layer is a deterministic validation system implemented on the server.</w:t>
      </w:r>
    </w:p>
    <w:p>
      <w:pPr>
        <w:spacing w:after="120" w:line="276" w:lineRule="auto"/>
      </w:pPr>
      <w:r>
        <w:rPr>
          <w:b/>
        </w:rPr>
        <w:t>Let:</w:t>
      </w:r>
      <w:r/>
    </w:p>
    <w:p>
      <w:pPr>
        <w:spacing w:after="80" w:line="276" w:lineRule="auto"/>
        <w:ind w:left="360"/>
      </w:pPr>
      <w:r>
        <w:rPr>
          <w:b/>
        </w:rPr>
        <w:t>• $S$ be the set of supported subjects:</w:t>
      </w:r>
      <w:r/>
    </w:p>
    <w:p>
      <w:pPr>
        <w:spacing w:after="120" w:line="276" w:lineRule="auto"/>
      </w:pPr>
      <w:r>
        <w:t>$S = \{ \text{Tomato}, \text{Potato}, \text{Rice}, \text{Maize}, \text{Chili}, \text{Cucumber}, \text{Pepper}, \text{Eggplant}, \text{Cattle}, \text{Goat}, \text{Sheep}, \text{Poultry} \}$</w:t>
      </w:r>
    </w:p>
    <w:p>
      <w:pPr>
        <w:spacing w:after="80" w:line="276" w:lineRule="auto"/>
        <w:ind w:left="360"/>
      </w:pPr>
      <w:r>
        <w:t>• $L(s)$ be the set of valid taxonomic labels for a given subject $s \in S$ (defined in `data/taxonomy.json`).</w:t>
      </w:r>
    </w:p>
    <w:p>
      <w:pPr>
        <w:spacing w:after="80" w:line="276" w:lineRule="auto"/>
        <w:ind w:left="360"/>
      </w:pPr>
      <w:r>
        <w:t>• $R$ be the structured output dictionary generated by the VLM, where:</w:t>
      </w:r>
    </w:p>
    <w:p>
      <w:pPr>
        <w:spacing w:after="80" w:line="276" w:lineRule="auto"/>
        <w:ind w:left="360"/>
      </w:pPr>
      <w:r>
        <w:t>• $R_{\text{kind}} \in \{ \text{"diagnosis"}, \text{"healthy"}, \text{"not\_a\_leaf"}, \text{"unsupported\_crop"}, \text{"low\_confidence"} \}$</w:t>
      </w:r>
    </w:p>
    <w:p>
      <w:pPr>
        <w:spacing w:after="80" w:line="276" w:lineRule="auto"/>
        <w:ind w:left="360"/>
      </w:pPr>
      <w:r>
        <w:t>• $R_{\text{subject}}$ is the detected subject string.</w:t>
      </w:r>
    </w:p>
    <w:p>
      <w:pPr>
        <w:spacing w:after="80" w:line="276" w:lineRule="auto"/>
        <w:ind w:left="360"/>
      </w:pPr>
      <w:r>
        <w:t>• $R_{\text{label}}$ is the predicted condition label string.</w:t>
      </w:r>
    </w:p>
    <w:p>
      <w:pPr>
        <w:spacing w:after="80" w:line="276" w:lineRule="auto"/>
        <w:ind w:left="360"/>
      </w:pPr>
      <w:r>
        <w:t>• $R_{\text{conf}} \in [0.0, 1.0]$ is the predicted diagnostic confidence.</w:t>
      </w:r>
    </w:p>
    <w:p>
      <w:pPr>
        <w:spacing w:after="80" w:line="276" w:lineRule="auto"/>
        <w:ind w:left="360"/>
      </w:pPr>
      <w:r>
        <w:t>• $R_{\text{sev}} \in [0.0, 1.0]$ is the predicted disease severity score.</w:t>
      </w:r>
    </w:p>
    <w:p>
      <w:pPr>
        <w:spacing w:after="120" w:line="276" w:lineRule="auto"/>
      </w:pPr>
      <w:r>
        <w:t>The backend algorithm enforces the following validation checks:</w:t>
      </w:r>
    </w:p>
    <w:p>
      <w:pPr>
        <w:spacing w:before="120" w:after="120" w:line="240" w:lineRule="auto"/>
        <w:ind w:left="576"/>
        <w:shd w:fill="F8F9FA"/>
      </w:pPr>
      <w:r>
        <w:rPr>
          <w:rFonts w:ascii="Consolas" w:hAnsi="Consolas"/>
          <w:color w:val="212529"/>
          <w:sz w:val="18"/>
        </w:rPr>
        <w:t># Server-side safety invariant verification loop</w:t>
        <w:br/>
        <w:t>def enforce_invariants(R, user_selected_subject=None):</w:t>
        <w:br/>
        <w:t xml:space="preserve">    # Step 1: Handle immediate rejections from VLM</w:t>
        <w:br/>
        <w:t xml:space="preserve">    if R.kind in ["not_a_leaf", "unsupported_crop", "low_confidence"]:</w:t>
        <w:br/>
        <w:t xml:space="preserve">        return rejection_response(R.kind, "The uploaded image is out of scope or unclear.")</w:t>
        <w:br/>
        <w:br/>
        <w:t xml:space="preserve">    # Step 2: Validate subject against the supported set</w:t>
        <w:br/>
        <w:t xml:space="preserve">    detected_subject = R.subject.strip().title()</w:t>
        <w:br/>
        <w:t xml:space="preserve">    if detected_subject not in S:</w:t>
        <w:br/>
        <w:t xml:space="preserve">        return rejection_response("unsupported_crop", f"Subject '{detected_subject}' is not supported.")</w:t>
        <w:br/>
        <w:br/>
        <w:t xml:space="preserve">    # Step 3: Validate label against the subject's taxonomy</w:t>
        <w:br/>
        <w:t xml:space="preserve">    predicted_label = R.label.strip().upper()</w:t>
        <w:br/>
        <w:t xml:space="preserve">    if predicted_label not in L(detected_subject):</w:t>
        <w:br/>
        <w:t xml:space="preserve">        return rejection_response("low_confidence", "Diagnosis label mismatch against system taxonomy.")</w:t>
        <w:br/>
        <w:br/>
        <w:t xml:space="preserve">    # Step 4: Prevent user-selection bias overrides</w:t>
        <w:br/>
        <w:t xml:space="preserve">    # If the user selected 'Tomato' but the VLM found 'Potato', raise a warning</w:t>
        <w:br/>
        <w:t xml:space="preserve">    if user_selected_subject and user_selected_subject.title() != detected_subject:</w:t>
        <w:br/>
        <w:t xml:space="preserve">        R.warning = f"Note: You selected {user_selected_subject}, but the system detected {detected_subject}."</w:t>
        <w:br/>
        <w:br/>
        <w:t xml:space="preserve">    # Step 5: Normalize and clamp numerical ranges</w:t>
        <w:br/>
        <w:t xml:space="preserve">    R.confidence = max(0.0, min(1.0, float(R.conf)))</w:t>
        <w:br/>
        <w:t xml:space="preserve">    R.severity_score = max(0.0, min(1.0, float(R.sev)))</w:t>
        <w:br/>
        <w:br/>
        <w:t xml:space="preserve">    # Step 6: Map healthy taxonomy codes to healthy kind</w:t>
        <w:br/>
        <w:t xml:space="preserve">    if predicted_label.endswith("_HEALTHY"):</w:t>
        <w:br/>
        <w:t xml:space="preserve">        R.kind = "healthy"</w:t>
        <w:br/>
        <w:br/>
        <w:t xml:space="preserve">    return R</w:t>
      </w:r>
    </w:p>
    <w:p>
      <w:pPr>
        <w:spacing w:after="120" w:line="276" w:lineRule="auto"/>
      </w:pPr>
      <w:r>
        <w:t>This safety layer prevents model hallucinations. If the VLM attempts to diagnose "Tomato Late Blight" on an image of a goat, the label validation check (`predicted_label in L("Goat")`) returns `False`, and the system automatically downgrades the result to a rejection.</w:t>
      </w:r>
    </w:p>
    <w:p>
      <w:pPr>
        <w:keepNext/>
        <w:spacing w:before="360" w:after="120"/>
      </w:pPr>
      <w:r>
        <w:rPr>
          <w:rFonts w:ascii="Arial" w:hAnsi="Arial"/>
          <w:b/>
          <w:color w:val="2E7559"/>
          <w:sz w:val="32"/>
        </w:rPr>
      </w:r>
    </w:p>
    <w:p>
      <w:pPr>
        <w:keepNext/>
        <w:spacing w:before="360" w:after="120"/>
      </w:pPr>
      <w:r>
        <w:rPr>
          <w:rFonts w:ascii="Arial" w:hAnsi="Arial"/>
          <w:b/>
          <w:color w:val="2E7559"/>
          <w:sz w:val="32"/>
        </w:rPr>
        <w:t>4. THE DEPLOYED CLASSIFIER: DESIGN, TRAINING &amp; EVALUATION</w:t>
      </w:r>
    </w:p>
    <w:p>
      <w:pPr>
        <w:keepNext/>
        <w:spacing w:before="240" w:after="80"/>
      </w:pPr>
      <w:r>
        <w:rPr>
          <w:rFonts w:ascii="Arial" w:hAnsi="Arial"/>
          <w:b/>
          <w:color w:val="2E7559"/>
          <w:sz w:val="25"/>
        </w:rPr>
        <w:t>4.1 Out-of-Scope Class Design: Making Rejection Learnable</w:t>
      </w:r>
    </w:p>
    <w:p>
      <w:pPr>
        <w:spacing w:after="120" w:line="276" w:lineRule="auto"/>
      </w:pPr>
      <w:r>
        <w:t>The central obstacle to deploying a local classifier as the primary engine is structural rather than a matter of accuracy. A softmax over N crop-disease classes is normalised to sum to one, so for any input whatsoever - a car, a hand, a wall - the network must distribute all of its probability mass across diseases it knows. There is no "none of these" outcome available to it. Empirically such a network does not respond to unfamiliar input with a flat, uncertain distribution; it typically produces a confident, arbitrary answer. This is the reason the Version 3.0 architecture implemented a local classifier and then deliberately left it disabled: switching it on would have circumvented the very safety guarantees that justified the system's design.</w:t>
      </w:r>
    </w:p>
    <w:p>
      <w:pPr>
        <w:spacing w:after="120" w:line="276" w:lineRule="auto"/>
      </w:pPr>
      <w:r>
        <w:t>Two mitigations were considered and rejected before settling on the approach used.</w:t>
      </w:r>
    </w:p>
    <w:p>
      <w:pPr>
        <w:spacing w:after="120" w:line="276" w:lineRule="auto"/>
      </w:pPr>
      <w:r>
        <w:t>The first was confidence thresholding alone - accept the prediction only when the maximum softmax probability exceeds some bar. This fails because the pathology is precisely that out-of-distribution inputs produce high confidence; the quantity being thresholded is not trustworthy on the inputs where the threshold matters most.</w:t>
      </w:r>
    </w:p>
    <w:p>
      <w:pPr>
        <w:spacing w:after="120" w:line="276" w:lineRule="auto"/>
      </w:pPr>
      <w:r>
        <w:t>The second was a separate binary "is this a leaf?" gate placed in front of the classifier. This is workable but introduces a second model to train, calibrate, host and maintain, and shifts rather than removes the problem: the gate itself is a classifier facing the same open-world question.</w:t>
      </w:r>
    </w:p>
    <w:p>
      <w:pPr>
        <w:spacing w:after="120" w:line="276" w:lineRule="auto"/>
      </w:pPr>
      <w:r>
        <w:t>The adopted approach makes rejection a learned outcome inside the single classifier by adding two out-of-scope classes to the label set:</w:t>
      </w:r>
    </w:p>
    <w:p>
      <w:pPr>
        <w:spacing w:after="80" w:line="276" w:lineRule="auto"/>
        <w:ind w:left="360"/>
      </w:pPr>
      <w:r>
        <w:t>• OOS_OTHER_PLANT - real photographs of leaves belonging to the nineteen plant species present in the source corpus that AgriDoctor does not support (apple, blueberry, cherry, grape, orange, peach, raspberry, soybean, squash, strawberry and others). These are genuine leaf images, so the network is forced to learn the distinction between supported and unsupported species rather than the far easier distinction between foliage and non-foliage.</w:t>
      </w:r>
    </w:p>
    <w:p>
      <w:pPr>
        <w:spacing w:after="80" w:line="276" w:lineRule="auto"/>
        <w:ind w:left="360"/>
      </w:pPr>
      <w:r>
        <w:t>• OOS_NOT_PLANT - photographs of everyday objects, drawn from a general object-recognition corpus, representing the case where the uploaded image is not vegetation at all.</w:t>
      </w:r>
    </w:p>
    <w:p>
      <w:pPr>
        <w:spacing w:after="120" w:line="276" w:lineRule="auto"/>
      </w:pPr>
      <w:r>
        <w:t>The two classes are semantically distinct and are routed differently, which is the point of separating them. OOS_OTHER_PLANT means "this is a leaf, but not one I was trained on", and the correct response is to escalate to the more general hosted model, which may well recognise it - AgriDoctor's taxonomy includes rice, chili, cucumber, eggplant and four livestock species for which no free training imagery exists. OOS_NOT_PLANT means "this is not vegetation", where escalation would waste an API call to reach the same rejection, so the request is refused locally at zero cost. Collapsing both into a single "reject" class would have discarded exactly the distinction that makes the routing efficient.</w:t>
      </w:r>
    </w:p>
    <w:p>
      <w:pPr>
        <w:spacing w:after="120" w:line="276" w:lineRule="auto"/>
      </w:pPr>
      <w:r>
        <w:t>A methodological hazard arises from this construction and had to be addressed directly. The two out-of-scope classes are sourced from different corpora than the in-scope classes, which creates the risk that the network learns an incidental artefact of the source - most obviously image resolution, since the non-plant corpus is natively 64x64 while the leaf imagery is cached at 256px - rather than the semantic content. A model that separates the classes by sharpness would score well in evaluation and fail immediately on a blurred photograph of a real leaf. The training pipeline therefore applies a random downscale-then-upscale degradation to every class with equal probability, so that resolution carries no label information and cannot be exploited as a shortcut.</w:t>
      </w:r>
    </w:p>
    <w:p>
      <w:pPr>
        <w:keepNext/>
        <w:spacing w:before="240" w:after="80"/>
      </w:pPr>
      <w:r>
        <w:rPr>
          <w:rFonts w:ascii="Arial" w:hAnsi="Arial"/>
          <w:b/>
          <w:color w:val="2E7559"/>
          <w:sz w:val="25"/>
        </w:rPr>
        <w:t>4.2 Corpus Construction &amp; Training Methodology</w:t>
      </w:r>
    </w:p>
    <w:p>
      <w:pPr>
        <w:spacing w:after="120" w:line="276" w:lineRule="auto"/>
      </w:pPr>
      <w:r>
        <w:t>The corpus is assembled by `scripts/prepare_dataset.py` from two public sources and cached to disk as resized JPEGs, so that training epochs are bounded by small-file I/O rather than by repeatedly decoding parquet archives.</w:t>
      </w:r>
    </w:p>
    <w:p>
      <w:pPr>
        <w:spacing w:after="80" w:line="276" w:lineRule="auto"/>
        <w:ind w:left="360"/>
      </w:pPr>
      <w:r>
        <w:rPr>
          <w:b/>
        </w:rPr>
        <w:t>• In-scope data and OOS_OTHER_PLANT:</w:t>
      </w:r>
      <w:r>
        <w:t xml:space="preserve"> `minhhungg/plant-disease-dataset` (HuggingFace), 70,295 images across 38 classes. Nineteen of these classes map onto the AgriDoctor taxonomy across four crops (Tomato, Potato, Pepper, Maize); the remaining nineteen become the OOS_OTHER_PLANT class.</w:t>
      </w:r>
    </w:p>
    <w:p>
      <w:pPr>
        <w:spacing w:after="80" w:line="276" w:lineRule="auto"/>
        <w:ind w:left="360"/>
      </w:pPr>
      <w:r>
        <w:rPr>
          <w:b/>
        </w:rPr>
        <w:t>• OOS_NOT_PLANT:</w:t>
      </w:r>
      <w:r>
        <w:t xml:space="preserve"> `zh-plus/tiny-imagenet`, a general object-recognition corpus.</w:t>
      </w:r>
    </w:p>
    <w:p>
      <w:pPr>
        <w:spacing w:after="120" w:line="276" w:lineRule="auto"/>
      </w:pPr>
      <w:r>
        <w:rPr>
          <w:b/>
        </w:rPr>
        <w:t>Total corpus:</w:t>
      </w:r>
      <w:r>
        <w:t xml:space="preserve"> 47,269 images across 21 classes, split 70/15/15 into training, validation and test partitions. The split is stratified per class, so every class is represented in every partition. The test partition is held out entirely - it is not used for training, for epoch selection, or for fitting the calibration temperature.</w:t>
      </w:r>
    </w:p>
    <w:p>
      <w:pPr>
        <w:spacing w:after="120" w:line="276" w:lineRule="auto"/>
      </w:pPr>
      <w:r>
        <w:t>The training procedure (`scripts/train_cnn.py`) uses an ImageNet-pretrained EfficientNet-B0 backbone and applies the following techniques, each chosen against a specific identified failure mode rather than as generic best practice:</w:t>
      </w:r>
    </w:p>
    <w:p>
      <w:pPr>
        <w:spacing w:after="80" w:line="276" w:lineRule="auto"/>
        <w:ind w:left="360"/>
      </w:pPr>
      <w:r>
        <w:t>• Two-stage schedule. The classifier head is trained alone for two epochs with the backbone frozen, after which the whole network is fine-tuned. This prevents the large gradients produced by a randomly initialised head from degrading the pretrained feature extractor in the first few steps.</w:t>
      </w:r>
    </w:p>
    <w:p>
      <w:pPr>
        <w:spacing w:after="80" w:line="276" w:lineRule="auto"/>
        <w:ind w:left="360"/>
      </w:pPr>
      <w:r>
        <w:t>• MixUp and CutMix. Training on convex combinations and spatial composites of image pairs, with correspondingly mixed targets, discourages the network from resting its decision on a single dominant cue. This directly targets the documented PlantVillage failure mode discussed in Section 2.2, in which a network keys on the uniform studio background rather than on the lesion. These techniques also reduce overconfidence, which matters here because the routing layer thresholds the confidence value itself.</w:t>
      </w:r>
    </w:p>
    <w:p>
      <w:pPr>
        <w:spacing w:after="80" w:line="276" w:lineRule="auto"/>
        <w:ind w:left="360"/>
      </w:pPr>
      <w:r>
        <w:t>• Resolution jitter across all classes, as described in Section 4.1.</w:t>
      </w:r>
    </w:p>
    <w:p>
      <w:pPr>
        <w:spacing w:after="80" w:line="276" w:lineRule="auto"/>
        <w:ind w:left="360"/>
      </w:pPr>
      <w:r>
        <w:t>• Class-balanced sampling, label smoothing, RandAugment, random rotation and flips, and random erasing.</w:t>
      </w:r>
    </w:p>
    <w:p>
      <w:pPr>
        <w:spacing w:after="80" w:line="276" w:lineRule="auto"/>
        <w:ind w:left="360"/>
      </w:pPr>
      <w:r>
        <w:t>• An exponential moving average of the weights, maintained alongside the raw weights. Both are evaluated each epoch and the better of the two is retained, rather than assuming the averaged copy is superior.</w:t>
      </w:r>
    </w:p>
    <w:p>
      <w:pPr>
        <w:spacing w:after="80" w:line="276" w:lineRule="auto"/>
        <w:ind w:left="360"/>
      </w:pPr>
      <w:r>
        <w:t>• Model selection by macro-F1 rather than accuracy, so that the two out-of-scope classes - which are decisive for safety but need not be the most frequent - carry equal weight to the common diseases.</w:t>
      </w:r>
    </w:p>
    <w:p>
      <w:pPr>
        <w:spacing w:after="80" w:line="276" w:lineRule="auto"/>
        <w:ind w:left="360"/>
      </w:pPr>
      <w:r>
        <w:t>• Temperature scaling (Guo et al., 2017) fitted on the validation partition after training. A single scalar divides the logits before the softmax, which is monotonic and therefore alters no prediction, but corrects the systematic overconfidence of a fine-tuned network. Because the serving layer routes on the confidence value, an uncalibrated model would mean routing decisions made on numbers that do not mean what they claim.</w:t>
      </w:r>
    </w:p>
    <w:p>
      <w:pPr>
        <w:spacing w:after="120" w:line="276" w:lineRule="auto"/>
      </w:pPr>
      <w:r>
        <w:t>Measured training run (Apple Silicon MPS, 33,079 training / 7,083 validation images):</w:t>
      </w:r>
    </w:p>
    <w:p>
      <w:pPr>
        <w:spacing w:after="80" w:line="276" w:lineRule="auto"/>
        <w:ind w:left="360"/>
      </w:pPr>
      <w:r>
        <w:rPr>
          <w:b/>
        </w:rPr>
        <w:t>• Backbone:</w:t>
      </w:r>
      <w:r>
        <w:t xml:space="preserve"> EfficientNet-B0, ImageNet-pretrained.</w:t>
      </w:r>
    </w:p>
    <w:p>
      <w:pPr>
        <w:spacing w:after="80" w:line="276" w:lineRule="auto"/>
        <w:ind w:left="360"/>
      </w:pPr>
      <w:r>
        <w:rPr>
          <w:b/>
        </w:rPr>
        <w:t>• Schedule:</w:t>
      </w:r>
      <w:r>
        <w:t xml:space="preserve"> 16 epochs (2 head-only warmup, 14 full fine-tune), batch size 16.</w:t>
      </w:r>
    </w:p>
    <w:p>
      <w:pPr>
        <w:spacing w:after="80" w:line="276" w:lineRule="auto"/>
        <w:ind w:left="360"/>
      </w:pPr>
      <w:r>
        <w:rPr>
          <w:b/>
        </w:rPr>
        <w:t>• Best epoch:</w:t>
      </w:r>
      <w:r>
        <w:t xml:space="preserve"> 16, selected by validation macro-F1.</w:t>
      </w:r>
    </w:p>
    <w:p>
      <w:pPr>
        <w:spacing w:after="80" w:line="276" w:lineRule="auto"/>
        <w:ind w:left="360"/>
      </w:pPr>
      <w:r>
        <w:rPr>
          <w:b/>
        </w:rPr>
        <w:t>• Best validation macro-F1:</w:t>
      </w:r>
      <w:r>
        <w:t xml:space="preserve"> 0.9974 (accuracy 0.9979).</w:t>
      </w:r>
    </w:p>
    <w:p>
      <w:pPr>
        <w:spacing w:after="80" w:line="276" w:lineRule="auto"/>
        <w:ind w:left="360"/>
      </w:pPr>
      <w:r>
        <w:t>• Validation macro-F1 progressed 0.834 (epoch 1, backbone frozen) -&gt; 0.975 (epoch 3, first fine-tune epoch) -&gt; 0.988 (epoch 4) -&gt; 0.997 (epoch 16), improving at every epoch, so early stopping did not trigger.</w:t>
      </w:r>
    </w:p>
    <w:p>
      <w:pPr>
        <w:spacing w:after="80" w:line="276" w:lineRule="auto"/>
        <w:ind w:left="360"/>
      </w:pPr>
      <w:r>
        <w:t>• The exponential moving average of the weights was selected over the raw weights in 9 of the 16 epochs, confirming that maintaining and evaluating both was worthwhile rather than assuming either is always superior.</w:t>
      </w:r>
    </w:p>
    <w:p>
      <w:pPr>
        <w:spacing w:after="80" w:line="276" w:lineRule="auto"/>
        <w:ind w:left="360"/>
      </w:pPr>
      <w:r>
        <w:rPr>
          <w:b/>
        </w:rPr>
        <w:t>• Fitted temperature:</w:t>
      </w:r>
      <w:r>
        <w:t xml:space="preserve"> 0.446. Expected calibration error on the validation set fell from 0.139 before scaling to 0.001 after - the raw fine-tuned network was substantially overconfident, and scaling very nearly eliminates the gap between stated confidence and observed accuracy. This is the single most important number for a system that routes on the confidence value, and it is reported in full in the next section on the held-out test set.</w:t>
      </w:r>
    </w:p>
    <w:p>
      <w:pPr>
        <w:spacing w:after="120" w:line="276" w:lineRule="auto"/>
      </w:pPr>
      <w:r>
        <w:t>(All figures reproducible from `scripts/train_cnn.py`; the per-epoch history and the fitted calibration are saved to `data/models/train_metrics.json` and plotted in `data/models/training_curves.png`.)</w:t>
      </w:r>
    </w:p>
    <w:p>
      <w:pPr>
        <w:keepNext/>
        <w:spacing w:before="240" w:after="80"/>
      </w:pPr>
      <w:r>
        <w:rPr>
          <w:rFonts w:ascii="Arial" w:hAnsi="Arial"/>
          <w:b/>
          <w:color w:val="2E7559"/>
          <w:sz w:val="25"/>
        </w:rPr>
        <w:t>4.3 Held-Out Evaluation: Accuracy, Calibration, OOD Detection &amp; Robustness</w:t>
      </w:r>
    </w:p>
    <w:p>
      <w:pPr>
        <w:spacing w:after="120" w:line="276" w:lineRule="auto"/>
      </w:pPr>
      <w:r>
        <w:t>Evaluation is performed by `scripts/evaluate_cnn.py` on the held-out test partition, loading the model through the same serving class the API uses, so that the measured behaviour includes temperature scaling and the routing thresholds exactly as deployed. Four families of measurement are reported.</w:t>
      </w:r>
    </w:p>
    <w:p>
      <w:pPr>
        <w:spacing w:after="120" w:line="276" w:lineRule="auto"/>
      </w:pPr>
      <w:r>
        <w:rPr>
          <w:b/>
        </w:rPr>
        <w:t>First, conventional classification quality:</w:t>
      </w:r>
      <w:r>
        <w:t xml:space="preserve"> overall accuracy, macro-F1, per-class precision and recall, and a row-normalised confusion matrix.</w:t>
      </w:r>
    </w:p>
    <w:p>
      <w:pPr>
        <w:spacing w:after="120" w:line="276" w:lineRule="auto"/>
      </w:pPr>
      <w:r>
        <w:t>Second, calibration, reported as expected calibration error before and after temperature scaling.</w:t>
      </w:r>
    </w:p>
    <w:p>
      <w:pPr>
        <w:spacing w:after="120" w:line="276" w:lineRule="auto"/>
      </w:pPr>
      <w:r>
        <w:t>Third, and most important for the safety argument, the behaviour of the rejection gate. The headline figure is the false-acceptance rate: the proportion of out-of-scope test images that would receive a confident in-scope diagnosis rather than being rejected or escalated. No accuracy figure substitutes for this measurement, because a model may classify its known classes almost perfectly while still mishandling the open-world inputs that motivated the whole design. This is supplemented by the area under the ROC curve for separating out-of-scope from in-scope inputs, reported separately for the two rejection classes since detecting a non-plant image is expected to be substantially easier than recognising an unfamiliar plant species. AUROC is threshold-independent and therefore distinguishes a model that cannot separate the two populations at all from one that separates them well but is operating at a poorly chosen threshold. A threshold sweep across nine operating points reports coverage, accuracy-when-answered and false-acceptance rate at each, providing the empirical basis for the deployed threshold rather than presenting it as an arbitrary constant.</w:t>
      </w:r>
    </w:p>
    <w:p>
      <w:pPr>
        <w:spacing w:after="120" w:line="276" w:lineRule="auto"/>
      </w:pPr>
      <w:r>
        <w:t>Fourth, robustness to field-like image degradation. Section 2.2 identifies domain shift as the principal weakness of PlantVillage-trained models, and clean test accuracy on studio imagery cannot measure it. The evaluation therefore re-runs the entire test partition under eight synthetic corruptions - Gaussian blur at two severities, sensor noise, under- and over-exposure, JPEG compression artefacts, partial occlusion, and resolution loss - approximating what a phone camera produces in a field. The gap between clean and corrupted accuracy is reported explicitly as an honest measure of the generalisation gap, and the false-acceptance rate is recomputed under each corruption, since a degradation that breaks the safety gate is materially worse than one that merely reduces accuracy.</w:t>
      </w:r>
    </w:p>
    <w:p>
      <w:pPr>
        <w:spacing w:after="120" w:line="276" w:lineRule="auto"/>
      </w:pPr>
      <w:r>
        <w:t>All figures below are on the 7,109-image held-out test partition, which was used for neither training, epoch selection, nor calibration. They are produced by `scripts/evaluate_cnn.py` and saved to `data/models/eval_report.json`.</w:t>
      </w:r>
    </w:p>
    <w:p>
      <w:pPr>
        <w:spacing w:after="120" w:line="276" w:lineRule="auto"/>
      </w:pPr>
      <w:r>
        <w:t>Classification quality.</w:t>
      </w:r>
    </w:p>
    <w:p>
      <w:pPr>
        <w:spacing w:after="80" w:line="276" w:lineRule="auto"/>
        <w:ind w:left="360"/>
      </w:pPr>
      <w:r>
        <w:rPr>
          <w:b/>
        </w:rPr>
        <w:t>• Accuracy:</w:t>
      </w:r>
      <w:r>
        <w:t xml:space="preserve"> 0.9979. Macro-F1: 0.9976.</w:t>
      </w:r>
    </w:p>
    <w:p>
      <w:pPr>
        <w:spacing w:after="80" w:line="276" w:lineRule="auto"/>
        <w:ind w:left="360"/>
      </w:pPr>
      <w:r>
        <w:t>• Sixteen of the twenty-one classes reach an F1 of 1.000; the lowest class F1 is 0.986 (maize gray leaf spot, which is visually confusable with maize northern leaf blight, the confusion the matrix in `data/models/confusion_matrix.png` shows). Both out-of-scope classes score at or above 0.998.</w:t>
      </w:r>
    </w:p>
    <w:p>
      <w:pPr>
        <w:spacing w:after="120" w:line="276" w:lineRule="auto"/>
      </w:pPr>
      <w:r>
        <w:t>Calibration.</w:t>
      </w:r>
    </w:p>
    <w:p>
      <w:pPr>
        <w:spacing w:after="80" w:line="276" w:lineRule="auto"/>
        <w:ind w:left="360"/>
      </w:pPr>
      <w:r>
        <w:t>• Expected calibration error on the test set is 0.0016 after temperature scaling. In plain terms, the confidence figure the system reports is closely matched by how often it is actually correct, which is the property that makes it safe to route on.</w:t>
      </w:r>
    </w:p>
    <w:p>
      <w:pPr>
        <w:spacing w:after="120" w:line="276" w:lineRule="auto"/>
      </w:pPr>
      <w:r>
        <w:t>The safety gate - the decisive measurement.</w:t>
      </w:r>
    </w:p>
    <w:p>
      <w:pPr>
        <w:spacing w:after="80" w:line="276" w:lineRule="auto"/>
        <w:ind w:left="360"/>
      </w:pPr>
      <w:r>
        <w:rPr>
          <w:b/>
        </w:rPr>
        <w:t>• False-acceptance rate:</w:t>
      </w:r>
      <w:r>
        <w:t xml:space="preserve"> 0.0006. Of the out-of-scope test images (unsupported plant species and non-vegetation), 0.06% would receive a confident in-scope diagnosis rather than being rejected or escalated. This is the number that determines whether the classifier is safe to run as the primary engine, and no accuracy figure substitutes for it.</w:t>
      </w:r>
    </w:p>
    <w:p>
      <w:pPr>
        <w:spacing w:after="80" w:line="276" w:lineRule="auto"/>
        <w:ind w:left="360"/>
      </w:pPr>
      <w:r>
        <w:rPr>
          <w:b/>
        </w:rPr>
        <w:t>• Not-a-plant recall:</w:t>
      </w:r>
      <w:r>
        <w:t xml:space="preserve"> 1.000. Every non-plant test image was correctly identified as such.</w:t>
      </w:r>
    </w:p>
    <w:p>
      <w:pPr>
        <w:spacing w:after="80" w:line="276" w:lineRule="auto"/>
        <w:ind w:left="360"/>
      </w:pPr>
      <w:r>
        <w:rPr>
          <w:b/>
        </w:rPr>
        <w:t>• Out-of-distribution AUROC:</w:t>
      </w:r>
      <w:r>
        <w:t xml:space="preserve"> 1.00 for out-of-scope versus in-scope overall, and 1.00 for each reject class taken separately. The model separates what it can diagnose from what it cannot essentially perfectly on this test set, independent of any threshold choice.</w:t>
      </w:r>
    </w:p>
    <w:p>
      <w:pPr>
        <w:spacing w:after="120" w:line="276" w:lineRule="auto"/>
      </w:pPr>
      <w:r>
        <w:t>Operating point and the threshold sweep.</w:t>
      </w:r>
    </w:p>
    <w:p>
      <w:pPr>
        <w:spacing w:after="80" w:line="276" w:lineRule="auto"/>
        <w:ind w:left="360"/>
      </w:pPr>
      <w:r>
        <w:t>• The deployed confidence threshold is 0.75. The sweep shows this choice is not delicate: local coverage of in-scope images stays above 99% for every threshold from 0.50 to 0.90, while the false-acceptance rate is flat at 0.0006 across that whole range. The system is therefore not balanced on a knife-edge - a wide band of thresholds gives essentially the same safe, high-coverage behaviour.</w:t>
      </w:r>
    </w:p>
    <w:p>
      <w:pPr>
        <w:spacing w:after="80" w:line="276" w:lineRule="auto"/>
        <w:ind w:left="360"/>
      </w:pPr>
      <w:r>
        <w:t>• Resulting routing distribution on the test set: 74.4% of images answered locally as a diagnosis, 12.7% rejected locally as non-plant, and 12.9% escalated to the hosted model. Roughly seven in eight requests are resolved with no network call and no API quota consumed.</w:t>
      </w:r>
    </w:p>
    <w:p>
      <w:pPr>
        <w:spacing w:after="120" w:line="276" w:lineRule="auto"/>
      </w:pPr>
      <w:r>
        <w:t>Latency.</w:t>
      </w:r>
    </w:p>
    <w:p>
      <w:pPr>
        <w:spacing w:after="80" w:line="276" w:lineRule="auto"/>
        <w:ind w:left="360"/>
      </w:pPr>
      <w:r>
        <w:t>• Median single-image inference is 24 ms on Apple Silicon (including test-time augmentation), against a hosted-model round trip of several seconds plus the free-tier rate limit of approximately one image per minute. For the majority of requests that are answered locally this is a difference of roughly three orders of magnitude, and it removes the rate limit from the common path entirely.</w:t>
      </w:r>
    </w:p>
    <w:p>
      <w:pPr>
        <w:spacing w:after="120" w:line="276" w:lineRule="auto"/>
      </w:pPr>
      <w:r>
        <w:t>Robustness to field-like corruption - the honest limitation.</w:t>
      </w:r>
    </w:p>
    <w:p>
      <w:pPr>
        <w:spacing w:after="80" w:line="276" w:lineRule="auto"/>
        <w:ind w:left="360"/>
      </w:pPr>
      <w:r>
        <w:t>• The headline 0.9979 is measured on clean, plain-background imagery and, consistent with the domain-shift literature in Section 2.2, overstates field performance. Under eight synthetic corruptions the mean accuracy is 0.9825, a drop of about 1.5 points, with the following breakdown:</w:t>
      </w:r>
    </w:p>
    <w:p>
      <w:pPr>
        <w:spacing w:after="120" w:line="276" w:lineRule="auto"/>
      </w:pPr>
      <w:r>
        <w:t>corruption        accuracy   drop     false-accept</w:t>
      </w:r>
    </w:p>
    <w:p>
      <w:pPr>
        <w:spacing w:after="120" w:line="276" w:lineRule="auto"/>
      </w:pPr>
      <w:r>
        <w:t>(clean)           0.9979     -        0.0006</w:t>
      </w:r>
    </w:p>
    <w:p>
      <w:pPr>
        <w:spacing w:after="120" w:line="276" w:lineRule="auto"/>
      </w:pPr>
      <w:r>
        <w:t>brightness down   0.9973     0.0006   0.0011</w:t>
      </w:r>
    </w:p>
    <w:p>
      <w:pPr>
        <w:spacing w:after="120" w:line="276" w:lineRule="auto"/>
      </w:pPr>
      <w:r>
        <w:t>brightness up     0.9968     0.0011   0.0011</w:t>
      </w:r>
    </w:p>
    <w:p>
      <w:pPr>
        <w:spacing w:after="120" w:line="276" w:lineRule="auto"/>
      </w:pPr>
      <w:r>
        <w:t>blur (light)      0.9962     0.0017   0.0022</w:t>
      </w:r>
    </w:p>
    <w:p>
      <w:pPr>
        <w:spacing w:after="120" w:line="276" w:lineRule="auto"/>
      </w:pPr>
      <w:r>
        <w:t>occlusion         0.9956     0.0023   0.0022</w:t>
      </w:r>
    </w:p>
    <w:p>
      <w:pPr>
        <w:spacing w:after="120" w:line="276" w:lineRule="auto"/>
      </w:pPr>
      <w:r>
        <w:t>low resolution    0.9952     0.0027   0.0028</w:t>
      </w:r>
    </w:p>
    <w:p>
      <w:pPr>
        <w:spacing w:after="120" w:line="276" w:lineRule="auto"/>
      </w:pPr>
      <w:r>
        <w:t>JPEG artefacts    0.9937     0.0042   0.0006</w:t>
      </w:r>
    </w:p>
    <w:p>
      <w:pPr>
        <w:spacing w:after="120" w:line="276" w:lineRule="auto"/>
      </w:pPr>
      <w:r>
        <w:t>sensor noise      0.9630     0.0349   0.0378</w:t>
      </w:r>
    </w:p>
    <w:p>
      <w:pPr>
        <w:spacing w:after="120" w:line="276" w:lineRule="auto"/>
      </w:pPr>
      <w:r>
        <w:t>blur (heavy)      0.9223     0.0756   0.0250</w:t>
      </w:r>
    </w:p>
    <w:p>
      <w:pPr>
        <w:spacing w:after="80" w:line="276" w:lineRule="auto"/>
        <w:ind w:left="360"/>
      </w:pPr>
      <w:r>
        <w:t>• Two honest observations follow. First, mild photographic variation - exposure, light blur, compression, occlusion, resolution loss - is absorbed with little degradation, which is the intended effect of the augmentation regime. Second, heavy blur and sensor noise are the genuine weak points: they cost roughly 7.5 and 3.5 accuracy points respectively, and more importantly they raise the false-acceptance rate (to 0.025 and 0.038), meaning a badly degraded out-of-scope image is more likely to slip through the gate. This is a real and useful finding rather than a flaw to conceal: it quantifies exactly the failure mode a plain-background training corpus is expected to have, and it is a concrete argument both for retaining the hosted model as an escalation tier and for the image-quality checks that guide a user to retake an unusable photo.</w:t>
      </w:r>
    </w:p>
    <w:p>
      <w:pPr>
        <w:spacing w:after="80" w:line="276" w:lineRule="auto"/>
        <w:ind w:left="360"/>
      </w:pPr>
      <w:r>
        <w:t>• It should be stated plainly that a test partition drawn from the same clean corpus as the training data measures in-distribution generalisation, not true field deployment. The corruption suite is a proxy for field conditions, not a substitute for a genuinely independent field dataset, and collecting such a dataset is identified as the single most valuable next step in Section 5.</w:t>
      </w:r>
    </w:p>
    <w:p>
      <w:pPr>
        <w:keepNext/>
        <w:spacing w:before="240" w:after="80"/>
      </w:pPr>
      <w:r>
        <w:rPr>
          <w:rFonts w:ascii="Arial" w:hAnsi="Arial"/>
          <w:b/>
          <w:color w:val="2E7559"/>
          <w:sz w:val="25"/>
        </w:rPr>
        <w:t>4.4 Explainability via Grad-CAM</w:t>
      </w:r>
    </w:p>
    <w:p>
      <w:pPr>
        <w:spacing w:after="120" w:line="276" w:lineRule="auto"/>
      </w:pPr>
      <w:r>
        <w:t>Diagnoses produced by the local classifier are accompanied by a Grad-CAM heatmap (Selvaraju et al., 2017), computed in `backend/ai/gradcam.py` by weighting the final convolutional feature maps by the mean gradient of the predicted logit with respect to each channel. The overlay is returned to the client and can be toggled against the original photograph in the interface.</w:t>
      </w:r>
    </w:p>
    <w:p>
      <w:pPr>
        <w:spacing w:after="120" w:line="276" w:lineRule="auto"/>
      </w:pPr>
      <w:r>
        <w:t>This serves two distinct purposes. For the farmer it converts an opaque label into an inspectable claim, indicating which region of the leaf the system responded to. For evaluation it provides a diagnostic that aggregate metrics cannot: a model that has learned the studio background rather than the lesion produces heatmaps concentrated away from the affected tissue, a failure entirely invisible in an accuracy score. The system additionally returns a numeric focus measure - the fraction of the image exceeding half of peak activation - so that diffuse, whole-frame attention can be identified programmatically rather than only by visual inspection.</w:t>
      </w:r>
    </w:p>
    <w:p>
      <w:pPr>
        <w:keepNext/>
        <w:spacing w:before="240" w:after="80"/>
      </w:pPr>
      <w:r>
        <w:rPr>
          <w:rFonts w:ascii="Arial" w:hAnsi="Arial"/>
          <w:b/>
          <w:color w:val="2E7559"/>
          <w:sz w:val="25"/>
        </w:rPr>
        <w:t>4.5 Prior Experiment A: Fine-Tuning a MobileNetV3 Crop-Leaf Classifier</w:t>
      </w:r>
    </w:p>
    <w:p>
      <w:pPr>
        <w:spacing w:after="120" w:line="276" w:lineRule="auto"/>
      </w:pPr>
      <w:r>
        <w:t>This experiment predates the deployed classifier described above and is retained as a record of the development process. To explore the viability of a locally hosted classifier, an offline training run was executed using the script `scripts/train_real.py`.</w:t>
      </w:r>
    </w:p>
    <w:p>
      <w:pPr>
        <w:spacing w:after="80" w:line="276" w:lineRule="auto"/>
        <w:ind w:left="360"/>
      </w:pPr>
      <w:r>
        <w:rPr>
          <w:b/>
        </w:rPr>
        <w:t>• Backbone Architecture:</w:t>
      </w:r>
      <w:r>
        <w:t xml:space="preserve"> Pretrained MobileNetV3-small, chosen for its low parameter count, fast inference, and suitability for mobile deployment.</w:t>
      </w:r>
    </w:p>
    <w:p>
      <w:pPr>
        <w:spacing w:after="80" w:line="276" w:lineRule="auto"/>
        <w:ind w:left="360"/>
      </w:pPr>
      <w:r>
        <w:rPr>
          <w:b/>
        </w:rPr>
        <w:t>• Dataset:</w:t>
      </w:r>
      <w:r>
        <w:t xml:space="preserve"> Mapped from `minhhungg/plant-disease-dataset` on the HuggingFace Hub.</w:t>
      </w:r>
    </w:p>
    <w:p>
      <w:pPr>
        <w:spacing w:after="80" w:line="276" w:lineRule="auto"/>
        <w:ind w:left="360"/>
      </w:pPr>
      <w:r>
        <w:rPr>
          <w:b/>
        </w:rPr>
        <w:t>• Scope:</w:t>
      </w:r>
      <w:r>
        <w:t xml:space="preserve"> 17 classes across 4 crops (Tomato, Potato, Pepper, Maize).</w:t>
      </w:r>
    </w:p>
    <w:p>
      <w:pPr>
        <w:spacing w:after="80" w:line="276" w:lineRule="auto"/>
        <w:ind w:left="360"/>
      </w:pPr>
      <w:r>
        <w:rPr>
          <w:b/>
        </w:rPr>
        <w:t>• Split:</w:t>
      </w:r>
      <w:r>
        <w:t xml:space="preserve"> 80% training (4,080 images), 20% validation (1,020 images).</w:t>
      </w:r>
    </w:p>
    <w:p>
      <w:pPr>
        <w:spacing w:after="80" w:line="276" w:lineRule="auto"/>
        <w:ind w:left="360"/>
      </w:pPr>
      <w:r>
        <w:rPr>
          <w:b/>
        </w:rPr>
        <w:t>• Training Pipeline:</w:t>
      </w:r>
      <w:r/>
    </w:p>
    <w:p>
      <w:pPr>
        <w:spacing w:after="80" w:line="276" w:lineRule="auto"/>
        <w:ind w:left="360"/>
      </w:pPr>
      <w:r>
        <w:rPr>
          <w:b/>
        </w:rPr>
        <w:t>• Input resolution:</w:t>
      </w:r>
      <w:r>
        <w:t xml:space="preserve"> 224x224 pixels.</w:t>
      </w:r>
    </w:p>
    <w:p>
      <w:pPr>
        <w:spacing w:after="80" w:line="276" w:lineRule="auto"/>
        <w:ind w:left="360"/>
      </w:pPr>
      <w:r>
        <w:rPr>
          <w:b/>
        </w:rPr>
        <w:t>• Image Augmentations:</w:t>
      </w:r>
      <w:r>
        <w:t xml:space="preserve"> RandomHorizontalFlip, RandomRotation(degrees=15), ColorJitter(brightness=0.2, contrast=0.2, saturation=0.2).</w:t>
      </w:r>
    </w:p>
    <w:p>
      <w:pPr>
        <w:spacing w:after="80" w:line="276" w:lineRule="auto"/>
        <w:ind w:left="360"/>
      </w:pPr>
      <w:r>
        <w:rPr>
          <w:b/>
        </w:rPr>
        <w:t>• Hyperparameters:</w:t>
      </w:r>
      <w:r>
        <w:t xml:space="preserve"> Batch size = 32, Epochs = 8, Optimizer = AdamW (learning rate = 1e-4, weight decay = 1e-2).</w:t>
      </w:r>
    </w:p>
    <w:p>
      <w:pPr>
        <w:spacing w:after="80" w:line="276" w:lineRule="auto"/>
        <w:ind w:left="360"/>
      </w:pPr>
      <w:r>
        <w:rPr>
          <w:b/>
        </w:rPr>
        <w:t>• Hardware Acceleration:</w:t>
      </w:r>
      <w:r>
        <w:t xml:space="preserve"> Executed on Apple Silicon MPS (Metal Performance Shaders).</w:t>
      </w:r>
    </w:p>
    <w:p>
      <w:pPr>
        <w:spacing w:after="80" w:line="276" w:lineRule="auto"/>
        <w:ind w:left="360"/>
      </w:pPr>
      <w:r>
        <w:rPr>
          <w:b/>
        </w:rPr>
        <w:t>• Measured Results:</w:t>
      </w:r>
      <w:r/>
    </w:p>
    <w:p>
      <w:pPr>
        <w:spacing w:after="80" w:line="276" w:lineRule="auto"/>
        <w:ind w:left="360"/>
      </w:pPr>
      <w:r>
        <w:rPr>
          <w:b/>
        </w:rPr>
        <w:t>• Validation Accuracy:</w:t>
      </w:r>
      <w:r>
        <w:t xml:space="preserve"> 99.31%</w:t>
      </w:r>
    </w:p>
    <w:p>
      <w:pPr>
        <w:spacing w:after="80" w:line="276" w:lineRule="auto"/>
        <w:ind w:left="360"/>
      </w:pPr>
      <w:r>
        <w:rPr>
          <w:b/>
        </w:rPr>
        <w:t>• Validation Macro F1-score:</w:t>
      </w:r>
      <w:r>
        <w:t xml:space="preserve"> 0.9931</w:t>
      </w:r>
    </w:p>
    <w:p>
      <w:pPr>
        <w:spacing w:after="80" w:line="276" w:lineRule="auto"/>
        <w:ind w:left="360"/>
      </w:pPr>
      <w:r>
        <w:rPr>
          <w:b/>
        </w:rPr>
        <w:t>• Execution Time:</w:t>
      </w:r>
      <w:r>
        <w:t xml:space="preserve"> 287 seconds on Apple Silicon.</w:t>
      </w:r>
    </w:p>
    <w:p>
      <w:pPr>
        <w:spacing w:after="80" w:line="276" w:lineRule="auto"/>
        <w:ind w:left="360"/>
      </w:pPr>
      <w:r>
        <w:t>• Class-specific F1 metrics (from `data/models/metrics.json`):</w:t>
      </w:r>
    </w:p>
    <w:p>
      <w:pPr>
        <w:spacing w:after="80" w:line="276" w:lineRule="auto"/>
        <w:ind w:left="360"/>
      </w:pPr>
      <w:r>
        <w:rPr>
          <w:b/>
        </w:rPr>
        <w:t>• Tomato Healthy:</w:t>
      </w:r>
      <w:r>
        <w:t xml:space="preserve"> 1.000</w:t>
      </w:r>
    </w:p>
    <w:p>
      <w:pPr>
        <w:spacing w:after="80" w:line="276" w:lineRule="auto"/>
        <w:ind w:left="360"/>
      </w:pPr>
      <w:r>
        <w:rPr>
          <w:b/>
        </w:rPr>
        <w:t>• Potato Early Blight:</w:t>
      </w:r>
      <w:r>
        <w:t xml:space="preserve"> 0.985</w:t>
      </w:r>
    </w:p>
    <w:p>
      <w:pPr>
        <w:spacing w:after="80" w:line="276" w:lineRule="auto"/>
        <w:ind w:left="360"/>
      </w:pPr>
      <w:r>
        <w:rPr>
          <w:b/>
        </w:rPr>
        <w:t>• Maize Gray Leaf Spot:</w:t>
      </w:r>
      <w:r>
        <w:t xml:space="preserve"> 0.966 (lowest class score due to visual overlap with Northern Leaf Blight)</w:t>
      </w:r>
    </w:p>
    <w:p>
      <w:pPr>
        <w:spacing w:after="120" w:line="276" w:lineRule="auto"/>
      </w:pPr>
      <w:r>
        <w:t>&gt; [!IMPORTANT]</w:t>
      </w:r>
    </w:p>
    <w:p>
      <w:pPr>
        <w:spacing w:after="120" w:line="276" w:lineRule="auto"/>
      </w:pPr>
      <w:r>
        <w:t>&gt; **Academic Critique of Clinical Datasets**</w:t>
      </w:r>
    </w:p>
    <w:p>
      <w:pPr>
        <w:spacing w:after="120" w:line="276" w:lineRule="auto"/>
      </w:pPr>
      <w:r>
        <w:t>&gt; While a validation F1-score of 99.31% suggests the classification problem is solved, this score is inflated by the nature of the PlantVillage dataset. The images are captured against uniform, plain backgrounds with optimal lighting. This dataset lacks background clutter, weed interference, and shadow variations. When tested on real field photos, this model's accuracy dropped to around 60%.</w:t>
      </w:r>
    </w:p>
    <w:p>
      <w:pPr>
        <w:spacing w:after="120" w:line="276" w:lineRule="auto"/>
      </w:pPr>
      <w:r>
        <w:t>&gt;</w:t>
      </w:r>
    </w:p>
    <w:p>
      <w:pPr>
        <w:spacing w:after="120" w:line="276" w:lineRule="auto"/>
      </w:pPr>
      <w:r>
        <w:t>&gt; Two conclusions were drawn from this experiment, and they shaped the deployed system described in Sections 4.1 to 4.4. The first is that a headline validation figure on this corpus is not evidence of field readiness, which is why the deployed classifier is evaluated additionally under simulated image degradation (Section 4.3) and why that gap is reported rather than omitted. The second, and the more consequential, is that this classifier could not be deployed as the primary engine at all - not because of the accuracy gap, but because with seventeen disease classes and no out-of-scope class it had no mechanism for declining an image, and would therefore have returned a confident crop diagnosis for any photograph whatsoever. Addressing that structural limitation, rather than pursuing a higher score, is what produced the deployed model.</w:t>
      </w:r>
    </w:p>
    <w:p>
      <w:pPr>
        <w:keepNext/>
        <w:spacing w:before="240" w:after="80"/>
      </w:pPr>
      <w:r>
        <w:rPr>
          <w:rFonts w:ascii="Arial" w:hAnsi="Arial"/>
          <w:b/>
          <w:color w:val="2E7559"/>
          <w:sz w:val="25"/>
        </w:rPr>
        <w:t>4.6 Prior Experiment B: Multimodal Fusion Ablation Study (ViT &amp; DistilBERT)</w:t>
      </w:r>
    </w:p>
    <w:p>
      <w:pPr>
        <w:spacing w:after="120" w:line="276" w:lineRule="auto"/>
      </w:pPr>
      <w:r>
        <w:t>To verify if combining textual symptom descriptions with images improves classification accuracy, we evaluated a multimodal fusion network (`scripts/train_fusion_real.py`).</w:t>
      </w:r>
    </w:p>
    <w:p>
      <w:pPr>
        <w:spacing w:after="80" w:line="276" w:lineRule="auto"/>
        <w:ind w:left="360"/>
      </w:pPr>
      <w:r>
        <w:rPr>
          <w:b/>
        </w:rPr>
        <w:t>• Architecture:</w:t>
      </w:r>
      <w:r/>
    </w:p>
    <w:p>
      <w:pPr>
        <w:spacing w:after="80" w:line="276" w:lineRule="auto"/>
        <w:ind w:left="360"/>
      </w:pPr>
      <w:r>
        <w:rPr>
          <w:b/>
        </w:rPr>
        <w:t>• Visual Extractor:</w:t>
      </w:r>
      <w:r>
        <w:t xml:space="preserve"> Pretrained Vision Transformer (ViT-B/16), frozen to output a 768-dimensional image vector.</w:t>
      </w:r>
    </w:p>
    <w:p>
      <w:pPr>
        <w:spacing w:after="80" w:line="276" w:lineRule="auto"/>
        <w:ind w:left="360"/>
      </w:pPr>
      <w:r>
        <w:rPr>
          <w:b/>
        </w:rPr>
        <w:t>• Textual Extractor:</w:t>
      </w:r>
      <w:r>
        <w:t xml:space="preserve"> Pretrained DistilBERT model, frozen to output a 768-dimensional sentence embedding.</w:t>
      </w:r>
    </w:p>
    <w:p>
      <w:pPr>
        <w:spacing w:after="80" w:line="276" w:lineRule="auto"/>
        <w:ind w:left="360"/>
      </w:pPr>
      <w:r>
        <w:rPr>
          <w:b/>
        </w:rPr>
        <w:t>• Fusion Block:</w:t>
      </w:r>
      <w:r>
        <w:t xml:space="preserve"> A cross-modal attention module where visual queries attend to textual symptom tokens, feeding into a joint classification layer.</w:t>
      </w:r>
    </w:p>
    <w:p>
      <w:pPr>
        <w:spacing w:after="80" w:line="276" w:lineRule="auto"/>
        <w:ind w:left="360"/>
      </w:pPr>
      <w:r>
        <w:rPr>
          <w:b/>
        </w:rPr>
        <w:t>• Dataset:</w:t>
      </w:r>
      <w:r>
        <w:t xml:space="preserve"> 17 crop classes, 2,040 samples. The symptom text notes were programmatically generated from taxonomic symptom lists (incorporating random word dropout and noise to simulate user transcription errors).</w:t>
      </w:r>
    </w:p>
    <w:p>
      <w:pPr>
        <w:spacing w:after="80" w:line="276" w:lineRule="auto"/>
        <w:ind w:left="360"/>
      </w:pPr>
      <w:r>
        <w:rPr>
          <w:b/>
        </w:rPr>
        <w:t>• Ablation Study Results:</w:t>
      </w:r>
      <w:r/>
    </w:p>
    <w:p>
      <w:pPr>
        <w:spacing w:after="80" w:line="276" w:lineRule="auto"/>
        <w:ind w:left="360"/>
      </w:pPr>
      <w:r>
        <w:rPr>
          <w:b/>
        </w:rPr>
        <w:t>• Modality 1:</w:t>
      </w:r>
      <w:r>
        <w:t xml:space="preserve"> Image-only (ViT-B/16 visual tokens) -&gt; **0.907 Macro F1-score**</w:t>
      </w:r>
    </w:p>
    <w:p>
      <w:pPr>
        <w:spacing w:after="80" w:line="276" w:lineRule="auto"/>
        <w:ind w:left="360"/>
      </w:pPr>
      <w:r>
        <w:rPr>
          <w:b/>
        </w:rPr>
        <w:t>• Modality 2:</w:t>
      </w:r>
      <w:r>
        <w:t xml:space="preserve"> Text-only (DistilBERT sentence tokens) -&gt; **0.778 Macro F1-score**</w:t>
      </w:r>
    </w:p>
    <w:p>
      <w:pPr>
        <w:spacing w:after="80" w:line="276" w:lineRule="auto"/>
        <w:ind w:left="360"/>
      </w:pPr>
      <w:r>
        <w:rPr>
          <w:b/>
        </w:rPr>
        <w:t>• Modality 3:</w:t>
      </w:r>
      <w:r>
        <w:t xml:space="preserve"> Multimodal Fusion (ViT + DistilBERT) -&gt; **0.990 Macro F1-score**</w:t>
      </w:r>
    </w:p>
    <w:p>
      <w:pPr>
        <w:spacing w:after="120" w:line="276" w:lineRule="auto"/>
      </w:pPr>
      <w:r>
        <w:t>The multimodal fusion approach improved the macro F1-score by **+8.3 points** over the image-only model. This indicates that adding symptom context allows the model to resolve visual ambiguities (such as early-stage lesions that look like general nutrient deficiencies).</w:t>
      </w:r>
    </w:p>
    <w:p>
      <w:pPr>
        <w:keepNext/>
        <w:spacing w:before="240" w:after="80"/>
      </w:pPr>
      <w:r>
        <w:rPr>
          <w:rFonts w:ascii="Arial" w:hAnsi="Arial"/>
          <w:b/>
          <w:color w:val="2E7559"/>
          <w:sz w:val="25"/>
        </w:rPr>
        <w:t>4.7 Custom Data Annotation Infrastructure (Streamlit Framework)</w:t>
      </w:r>
    </w:p>
    <w:p>
      <w:pPr>
        <w:spacing w:after="120" w:line="276" w:lineRule="auto"/>
      </w:pPr>
      <w:r>
        <w:t>To address the lack of severity and image-quality labels in public datasets, we developed a custom annotation tool (`tools/annotator_app.py`). Built with Streamlit, the tool allows annotators to load raw images, assign primary crop/disease labels, adjust a continuous severity slider (0.0 to 1.0), flag focus/blur quality issues, and write natural language symptom summaries. This tool helps build the specialized datasets needed to train future multimodal models.</w:t>
      </w:r>
    </w:p>
    <w:p>
      <w:pPr>
        <w:keepNext/>
        <w:spacing w:before="360" w:after="120"/>
      </w:pPr>
      <w:r>
        <w:rPr>
          <w:rFonts w:ascii="Arial" w:hAnsi="Arial"/>
          <w:b/>
          <w:color w:val="2E7559"/>
          <w:sz w:val="32"/>
        </w:rPr>
      </w:r>
    </w:p>
    <w:p>
      <w:pPr>
        <w:keepNext/>
        <w:spacing w:before="360" w:after="120"/>
      </w:pPr>
      <w:r>
        <w:rPr>
          <w:rFonts w:ascii="Arial" w:hAnsi="Arial"/>
          <w:b/>
          <w:color w:val="2E7559"/>
          <w:sz w:val="32"/>
        </w:rPr>
        <w:t>5. SYSTEM VALIDATION, USER TESTING, &amp; DEMO CASES</w:t>
      </w:r>
    </w:p>
    <w:p>
      <w:pPr>
        <w:spacing w:after="120" w:line="276" w:lineRule="auto"/>
      </w:pPr>
      <w:r>
        <w:t>These four scenarios exercise each distinct routing outcome of the two-tier engine. They are reproduced by `scripts/demo_scenarios.py`, which draws images from the held-out test partition (so none were seen during training) and runs them through the actual serving pipeline. The figures below are the recorded output of that script, not illustrative values. The `engine` field is the key evidence: a result of `local_cnn` proves the case was resolved with no network call and consumed no API quota.</w:t>
      </w:r>
    </w:p>
    <w:p>
      <w:pPr>
        <w:keepNext/>
        <w:spacing w:before="240" w:after="80"/>
      </w:pPr>
      <w:r>
        <w:rPr>
          <w:rFonts w:ascii="Arial" w:hAnsi="Arial"/>
          <w:b/>
          <w:color w:val="2E7559"/>
          <w:sz w:val="25"/>
        </w:rPr>
        <w:t>5.1 Scenario 1: Target Crop Leaf Pathology (Tomato Late Blight)</w:t>
      </w:r>
    </w:p>
    <w:p>
      <w:pPr>
        <w:spacing w:after="80" w:line="276" w:lineRule="auto"/>
        <w:ind w:left="360"/>
      </w:pPr>
      <w:r>
        <w:rPr>
          <w:b/>
        </w:rPr>
        <w:t>• Test Image:</w:t>
      </w:r>
      <w:r>
        <w:t xml:space="preserve"> A held-out tomato leaf with the true label TOM_LATE_BLIGHT.</w:t>
      </w:r>
    </w:p>
    <w:p>
      <w:pPr>
        <w:spacing w:after="80" w:line="276" w:lineRule="auto"/>
        <w:ind w:left="360"/>
      </w:pPr>
      <w:r>
        <w:rPr>
          <w:b/>
        </w:rPr>
        <w:t>• System Processing:</w:t>
      </w:r>
      <w:r/>
    </w:p>
    <w:p>
      <w:pPr>
        <w:spacing w:after="80" w:line="276" w:lineRule="auto"/>
        <w:ind w:left="360"/>
      </w:pPr>
      <w:r>
        <w:t>• The local CNN classified the image as TOM_LATE_BLIGHT with a calibrated confidence of 0.9996 and a top-two margin of 0.9995, clearing both routing thresholds, and returned the decision `diagnosis`.</w:t>
      </w:r>
    </w:p>
    <w:p>
      <w:pPr>
        <w:spacing w:after="80" w:line="276" w:lineRule="auto"/>
        <w:ind w:left="360"/>
      </w:pPr>
      <w:r>
        <w:t>• Treatment advice was drawn from the offline knowledge base and a Grad-CAM heatmap was generated; no network call was made.</w:t>
      </w:r>
    </w:p>
    <w:p>
      <w:pPr>
        <w:spacing w:after="80" w:line="276" w:lineRule="auto"/>
        <w:ind w:left="360"/>
      </w:pPr>
      <w:r>
        <w:t>• The safety-invariant layer confirmed TOM_LATE_BLIGHT is a valid label for tomato.</w:t>
      </w:r>
    </w:p>
    <w:p>
      <w:pPr>
        <w:spacing w:after="80" w:line="276" w:lineRule="auto"/>
        <w:ind w:left="360"/>
      </w:pPr>
      <w:r>
        <w:rPr>
          <w:b/>
        </w:rPr>
        <w:t>• Client Response:</w:t>
      </w:r>
      <w:r/>
    </w:p>
    <w:p>
      <w:pPr>
        <w:spacing w:after="80" w:line="276" w:lineRule="auto"/>
        <w:ind w:left="360"/>
      </w:pPr>
      <w:r>
        <w:rPr>
          <w:b/>
        </w:rPr>
        <w:t>• Engine:</w:t>
      </w:r>
      <w:r>
        <w:t xml:space="preserve"> local CNN (no network call)</w:t>
      </w:r>
    </w:p>
    <w:p>
      <w:pPr>
        <w:spacing w:after="80" w:line="276" w:lineRule="auto"/>
        <w:ind w:left="360"/>
      </w:pPr>
      <w:r>
        <w:rPr>
          <w:b/>
        </w:rPr>
        <w:t>• Crop Detected:</w:t>
      </w:r>
      <w:r>
        <w:t xml:space="preserve"> Tomato. Diagnosis: Late Blight (kind = diagnosis).</w:t>
      </w:r>
    </w:p>
    <w:p>
      <w:pPr>
        <w:spacing w:after="80" w:line="276" w:lineRule="auto"/>
        <w:ind w:left="360"/>
      </w:pPr>
      <w:r>
        <w:rPr>
          <w:b/>
        </w:rPr>
        <w:t>• Confidence:</w:t>
      </w:r>
      <w:r>
        <w:t xml:space="preserve"> 99.96%. Urgency: high. Grad-CAM overlay: attached.</w:t>
      </w:r>
    </w:p>
    <w:p>
      <w:pPr>
        <w:spacing w:after="80" w:line="276" w:lineRule="auto"/>
        <w:ind w:left="360"/>
      </w:pPr>
      <w:r>
        <w:rPr>
          <w:b/>
        </w:rPr>
        <w:t>• Actionable advice:</w:t>
      </w:r>
      <w:r>
        <w:t xml:space="preserve"> remove and destroy infected plants, apply a late-blight-specific fungicide, and alert nearby growers.</w:t>
      </w:r>
    </w:p>
    <w:p>
      <w:pPr>
        <w:spacing w:after="80" w:line="276" w:lineRule="auto"/>
        <w:ind w:left="360"/>
      </w:pPr>
      <w:r>
        <w:rPr>
          <w:b/>
        </w:rPr>
        <w:t>• Significance:</w:t>
      </w:r>
      <w:r>
        <w:t xml:space="preserve"> earlier in development, before the model was fully trained, this same image was correctly labelled but at only 0.51 confidence and was therefore escalated. The fully trained, calibrated model answers it locally with high confidence, which is the behaviour the whole design depends on.</w:t>
      </w:r>
    </w:p>
    <w:p>
      <w:pPr>
        <w:keepNext/>
        <w:spacing w:before="240" w:after="80"/>
      </w:pPr>
      <w:r>
        <w:rPr>
          <w:rFonts w:ascii="Arial" w:hAnsi="Arial"/>
          <w:b/>
          <w:color w:val="2E7559"/>
          <w:sz w:val="25"/>
        </w:rPr>
        <w:t>5.2 Scenario 2: Target Crop Healthy State (Healthy Potato Leaf)</w:t>
      </w:r>
    </w:p>
    <w:p>
      <w:pPr>
        <w:spacing w:after="80" w:line="276" w:lineRule="auto"/>
        <w:ind w:left="360"/>
      </w:pPr>
      <w:r>
        <w:rPr>
          <w:b/>
        </w:rPr>
        <w:t>• Test Image:</w:t>
      </w:r>
      <w:r>
        <w:t xml:space="preserve"> A held-out potato leaf with the true label POT_HEALTHY.</w:t>
      </w:r>
    </w:p>
    <w:p>
      <w:pPr>
        <w:spacing w:after="80" w:line="276" w:lineRule="auto"/>
        <w:ind w:left="360"/>
      </w:pPr>
      <w:r>
        <w:rPr>
          <w:b/>
        </w:rPr>
        <w:t>• System Processing:</w:t>
      </w:r>
      <w:r/>
    </w:p>
    <w:p>
      <w:pPr>
        <w:spacing w:after="80" w:line="276" w:lineRule="auto"/>
        <w:ind w:left="360"/>
      </w:pPr>
      <w:r>
        <w:t>• The local CNN classified the image as POT_HEALTHY at 0.9988 confidence, decision `diagnosis`, with no network call.</w:t>
      </w:r>
    </w:p>
    <w:p>
      <w:pPr>
        <w:spacing w:after="80" w:line="276" w:lineRule="auto"/>
        <w:ind w:left="360"/>
      </w:pPr>
      <w:r>
        <w:t>• The safety-invariant layer mapped the *_HEALTHY label to kind = healthy.</w:t>
      </w:r>
    </w:p>
    <w:p>
      <w:pPr>
        <w:spacing w:after="80" w:line="276" w:lineRule="auto"/>
        <w:ind w:left="360"/>
      </w:pPr>
      <w:r>
        <w:rPr>
          <w:b/>
        </w:rPr>
        <w:t>• Client Response:</w:t>
      </w:r>
      <w:r/>
    </w:p>
    <w:p>
      <w:pPr>
        <w:spacing w:after="80" w:line="276" w:lineRule="auto"/>
        <w:ind w:left="360"/>
      </w:pPr>
      <w:r>
        <w:rPr>
          <w:b/>
        </w:rPr>
        <w:t>• Engine:</w:t>
      </w:r>
      <w:r>
        <w:t xml:space="preserve"> local CNN (no network call)</w:t>
      </w:r>
    </w:p>
    <w:p>
      <w:pPr>
        <w:spacing w:after="80" w:line="276" w:lineRule="auto"/>
        <w:ind w:left="360"/>
      </w:pPr>
      <w:r>
        <w:rPr>
          <w:b/>
        </w:rPr>
        <w:t>• Crop Detected:</w:t>
      </w:r>
      <w:r>
        <w:t xml:space="preserve"> Potato. Result: Healthy. Confidence: 99.88%. Severity: 0%.</w:t>
      </w:r>
    </w:p>
    <w:p>
      <w:pPr>
        <w:spacing w:after="80" w:line="276" w:lineRule="auto"/>
        <w:ind w:left="360"/>
      </w:pPr>
      <w:r>
        <w:rPr>
          <w:b/>
        </w:rPr>
        <w:t>• Actionable advice:</w:t>
      </w:r>
      <w:r>
        <w:t xml:space="preserve"> continue normal care and monitoring; scout weekly including leaf undersides.</w:t>
      </w:r>
    </w:p>
    <w:p>
      <w:pPr>
        <w:keepNext/>
        <w:spacing w:before="240" w:after="80"/>
      </w:pPr>
      <w:r>
        <w:rPr>
          <w:rFonts w:ascii="Arial" w:hAnsi="Arial"/>
          <w:b/>
          <w:color w:val="2E7559"/>
          <w:sz w:val="25"/>
        </w:rPr>
        <w:t>5.3 Scenario 3: Out-of-Scope Leaf Rejection (Unsupported Plant Species)</w:t>
      </w:r>
    </w:p>
    <w:p>
      <w:pPr>
        <w:spacing w:after="80" w:line="276" w:lineRule="auto"/>
        <w:ind w:left="360"/>
      </w:pPr>
      <w:r>
        <w:rPr>
          <w:b/>
        </w:rPr>
        <w:t>• Test Image:</w:t>
      </w:r>
      <w:r>
        <w:t xml:space="preserve"> A held-out leaf from the OOS_OTHER_PLANT class - a real leaf of a species AgriDoctor does not support.</w:t>
      </w:r>
    </w:p>
    <w:p>
      <w:pPr>
        <w:spacing w:after="80" w:line="276" w:lineRule="auto"/>
        <w:ind w:left="360"/>
      </w:pPr>
      <w:r>
        <w:rPr>
          <w:b/>
        </w:rPr>
        <w:t>• User Selection:</w:t>
      </w:r>
      <w:r>
        <w:t xml:space="preserve"> "Tomato" selected in the frontend, as an adversarial hint.</w:t>
      </w:r>
    </w:p>
    <w:p>
      <w:pPr>
        <w:spacing w:after="80" w:line="276" w:lineRule="auto"/>
        <w:ind w:left="360"/>
      </w:pPr>
      <w:r>
        <w:rPr>
          <w:b/>
        </w:rPr>
        <w:t>• System Processing:</w:t>
      </w:r>
      <w:r/>
    </w:p>
    <w:p>
      <w:pPr>
        <w:spacing w:after="80" w:line="276" w:lineRule="auto"/>
        <w:ind w:left="360"/>
      </w:pPr>
      <w:r>
        <w:t>• The local CNN classified the image as OOS_OTHER_PLANT at 0.9981 confidence and returned the decision `escalate` - it correctly recognised the image as a leaf outside its trained scope rather than forcing a tomato diagnosis to match the user's hint.</w:t>
      </w:r>
    </w:p>
    <w:p>
      <w:pPr>
        <w:spacing w:after="80" w:line="276" w:lineRule="auto"/>
        <w:ind w:left="360"/>
      </w:pPr>
      <w:r>
        <w:t>• The image was escalated to the hosted vision model, which identified the species as apple.</w:t>
      </w:r>
    </w:p>
    <w:p>
      <w:pPr>
        <w:spacing w:after="80" w:line="276" w:lineRule="auto"/>
        <w:ind w:left="360"/>
      </w:pPr>
      <w:r>
        <w:t>• The safety-invariant layer ran the subject check: apple is not in the supported set, so disease details were stripped and the result set to kind = unsupported_crop.</w:t>
      </w:r>
    </w:p>
    <w:p>
      <w:pPr>
        <w:spacing w:after="80" w:line="276" w:lineRule="auto"/>
        <w:ind w:left="360"/>
      </w:pPr>
      <w:r>
        <w:rPr>
          <w:b/>
        </w:rPr>
        <w:t>• Client Response:</w:t>
      </w:r>
      <w:r/>
    </w:p>
    <w:p>
      <w:pPr>
        <w:spacing w:after="80" w:line="276" w:lineRule="auto"/>
        <w:ind w:left="360"/>
      </w:pPr>
      <w:r>
        <w:rPr>
          <w:b/>
        </w:rPr>
        <w:t>• Engine:</w:t>
      </w:r>
      <w:r>
        <w:t xml:space="preserve"> hosted model (escalated). Classification: Rejected (unsupported crop).</w:t>
      </w:r>
    </w:p>
    <w:p>
      <w:pPr>
        <w:spacing w:after="80" w:line="276" w:lineRule="auto"/>
        <w:ind w:left="360"/>
      </w:pPr>
      <w:r>
        <w:t>• The user's incorrect "Tomato" hint did not produce a tomato diagnosis - species identification is purely visual at both tiers.</w:t>
      </w:r>
    </w:p>
    <w:p>
      <w:pPr>
        <w:spacing w:after="80" w:line="276" w:lineRule="auto"/>
        <w:ind w:left="360"/>
      </w:pPr>
      <w:r>
        <w:t>• Note on a genuine limitation observed during testing: because the source corpus and the hosted model share overlapping botanical categories, an escalated cucurbit leaf (for example squash) can occasionally be reported by the hosted model as the supported crop "cucumber", which the invariant layer cannot catch because cucumber is in scope. The local CNN's refusal to diagnose it is correct; the residual error is introduced by the escalation tier and reflects the VLM over-cooperation described in Section 2.4. This is documented rather than concealed, and is a further argument for expanding the locally trained class set as field data becomes available.</w:t>
      </w:r>
    </w:p>
    <w:p>
      <w:pPr>
        <w:keepNext/>
        <w:spacing w:before="240" w:after="80"/>
      </w:pPr>
      <w:r>
        <w:rPr>
          <w:rFonts w:ascii="Arial" w:hAnsi="Arial"/>
          <w:b/>
          <w:color w:val="2E7559"/>
          <w:sz w:val="25"/>
        </w:rPr>
        <w:t>5.4 Scenario 4: Irrelevant Non-Plant Visual Noise Rejection</w:t>
      </w:r>
    </w:p>
    <w:p>
      <w:pPr>
        <w:spacing w:after="80" w:line="276" w:lineRule="auto"/>
        <w:ind w:left="360"/>
      </w:pPr>
      <w:r>
        <w:rPr>
          <w:b/>
        </w:rPr>
        <w:t>• Test Image:</w:t>
      </w:r>
      <w:r>
        <w:t xml:space="preserve"> A held-out non-vegetation photograph (OOS_NOT_PLANT class).</w:t>
      </w:r>
    </w:p>
    <w:p>
      <w:pPr>
        <w:spacing w:after="80" w:line="276" w:lineRule="auto"/>
        <w:ind w:left="360"/>
      </w:pPr>
      <w:r>
        <w:rPr>
          <w:b/>
        </w:rPr>
        <w:t>• User Selection:</w:t>
      </w:r>
      <w:r>
        <w:t xml:space="preserve"> "Cucumber" selected in the frontend, again as an adversarial hint.</w:t>
      </w:r>
    </w:p>
    <w:p>
      <w:pPr>
        <w:spacing w:after="80" w:line="276" w:lineRule="auto"/>
        <w:ind w:left="360"/>
      </w:pPr>
      <w:r>
        <w:rPr>
          <w:b/>
        </w:rPr>
        <w:t>• System Processing:</w:t>
      </w:r>
      <w:r/>
    </w:p>
    <w:p>
      <w:pPr>
        <w:spacing w:after="80" w:line="276" w:lineRule="auto"/>
        <w:ind w:left="360"/>
      </w:pPr>
      <w:r>
        <w:t>• The local CNN classified the image as OOS_NOT_PLANT at 0.9996 confidence and returned the decision `not_plant`.</w:t>
      </w:r>
    </w:p>
    <w:p>
      <w:pPr>
        <w:spacing w:after="80" w:line="276" w:lineRule="auto"/>
        <w:ind w:left="360"/>
      </w:pPr>
      <w:r>
        <w:t>• The request was rejected locally in 36 milliseconds with no network call and no API quota consumed - the case the hosted-only architecture could never handle without paying for an API round trip to reach the same rejection.</w:t>
      </w:r>
    </w:p>
    <w:p>
      <w:pPr>
        <w:spacing w:after="80" w:line="276" w:lineRule="auto"/>
        <w:ind w:left="360"/>
      </w:pPr>
      <w:r>
        <w:rPr>
          <w:b/>
        </w:rPr>
        <w:t>• Client Response:</w:t>
      </w:r>
      <w:r/>
    </w:p>
    <w:p>
      <w:pPr>
        <w:spacing w:after="80" w:line="276" w:lineRule="auto"/>
        <w:ind w:left="360"/>
      </w:pPr>
      <w:r>
        <w:rPr>
          <w:b/>
        </w:rPr>
        <w:t>• Engine:</w:t>
      </w:r>
      <w:r>
        <w:t xml:space="preserve"> local CNN (no network call). Classification: Rejected (kind = not_a_leaf).</w:t>
      </w:r>
    </w:p>
    <w:p>
      <w:pPr>
        <w:spacing w:after="80" w:line="276" w:lineRule="auto"/>
        <w:ind w:left="360"/>
      </w:pPr>
      <w:r>
        <w:rPr>
          <w:b/>
        </w:rPr>
        <w:t>• Response Message:</w:t>
      </w:r>
      <w:r>
        <w:t xml:space="preserve"> "No plant leaf was detected in this photo. Please upload a clear, close-up image of a single crop leaf."</w:t>
      </w:r>
    </w:p>
    <w:p>
      <w:pPr>
        <w:spacing w:after="120" w:line="276" w:lineRule="auto"/>
      </w:pPr>
      <w:r>
        <w:rPr>
          <w:b/>
        </w:rPr>
        <w:t>Summary:</w:t>
      </w:r>
      <w:r>
        <w:t xml:space="preserve"> three of the four scenarios were resolved entirely on-device with no network call, including both rejection cases and the confident diagnosis. Only the genuinely out-of-scope species was escalated. This is the routing distribution the whole-test-set evaluation in Section 4.3 reports in aggregate (74% local diagnosis, 13% local rejection, 13% escalation), shown here case by case.</w:t>
      </w:r>
    </w:p>
    <w:p>
      <w:pPr>
        <w:keepNext/>
        <w:spacing w:before="360" w:after="120"/>
      </w:pPr>
      <w:r>
        <w:rPr>
          <w:rFonts w:ascii="Arial" w:hAnsi="Arial"/>
          <w:b/>
          <w:color w:val="2E7559"/>
          <w:sz w:val="32"/>
        </w:rPr>
      </w:r>
    </w:p>
    <w:p>
      <w:pPr>
        <w:keepNext/>
        <w:spacing w:before="360" w:after="120"/>
      </w:pPr>
      <w:r>
        <w:rPr>
          <w:rFonts w:ascii="Arial" w:hAnsi="Arial"/>
          <w:b/>
          <w:color w:val="2E7559"/>
          <w:sz w:val="32"/>
        </w:rPr>
        <w:t>6. ETHICAL DISCLOSURES &amp; PROFESSIONAL ALIGNMENT (ACM CODE OF ETHICS)</w:t>
      </w:r>
    </w:p>
    <w:p>
      <w:pPr>
        <w:spacing w:after="120" w:line="276" w:lineRule="auto"/>
      </w:pPr>
      <w:r>
        <w:t>Providing automated agricultural and veterinary diagnostics carries real safety risks. A false diagnosis could lead a farmer to apply incorrect chemicals, resulting in crop damage, wasted expenses, or environmental harm. AgriDoctor is aligned with the ACM Code of Ethics and Professional Conduct [6]:</w:t>
      </w:r>
    </w:p>
    <w:p>
      <w:pPr>
        <w:spacing w:after="80" w:line="276" w:lineRule="auto"/>
        <w:ind w:left="360"/>
      </w:pPr>
      <w:r>
        <w:rPr>
          <w:b/>
        </w:rPr>
        <w:t>• Section 1.2 (Avoid Harm):</w:t>
      </w:r>
      <w:r/>
    </w:p>
    <w:p>
      <w:pPr>
        <w:spacing w:after="80" w:line="276" w:lineRule="auto"/>
        <w:ind w:left="360"/>
      </w:pPr>
      <w:r>
        <w:t>• Livestock diagnostics are restricted to visible conditions, and the system always prompts the user to contact a certified veterinarian before administering medication.</w:t>
      </w:r>
    </w:p>
    <w:p>
      <w:pPr>
        <w:spacing w:after="80" w:line="276" w:lineRule="auto"/>
        <w:ind w:left="360"/>
      </w:pPr>
      <w:r>
        <w:t>• Suggested treatments prioritize cultural controls (crop rotation, watering adjustments) and organic solutions (neem oil, copper soap) before recommending synthetic chemical pesticides.</w:t>
      </w:r>
    </w:p>
    <w:p>
      <w:pPr>
        <w:spacing w:after="80" w:line="276" w:lineRule="auto"/>
        <w:ind w:left="360"/>
      </w:pPr>
      <w:r>
        <w:t>• Section 1.4 (Be Fair and Take Action Not to Discriminate):</w:t>
      </w:r>
    </w:p>
    <w:p>
      <w:pPr>
        <w:spacing w:after="80" w:line="276" w:lineRule="auto"/>
        <w:ind w:left="360"/>
      </w:pPr>
      <w:r>
        <w:t>• Designed as an installable PWA with vanilla JavaScript and no build step. This keeps the application lightweight, fast, and accessible on low-end mobile devices and slower cellular networks in rural areas.</w:t>
      </w:r>
    </w:p>
    <w:p>
      <w:pPr>
        <w:spacing w:after="80" w:line="276" w:lineRule="auto"/>
        <w:ind w:left="360"/>
      </w:pPr>
      <w:r>
        <w:t>• Section 2.5 (Give Comprehensive and Thorough Evaluations of Computer Systems and Their Limitations):</w:t>
      </w:r>
    </w:p>
    <w:p>
      <w:pPr>
        <w:spacing w:after="80" w:line="276" w:lineRule="auto"/>
        <w:ind w:left="360"/>
      </w:pPr>
      <w:r>
        <w:t>• The system is biased toward uncertainty at every tier. The local classifier answers only when its calibrated confidence and its margin over the runner-up both clear configured thresholds; otherwise it escalates rather than guessing. Where no hosted model is configured to escalate to, the response is an explicit statement that the system is not confident, never a fabricated diagnosis.</w:t>
      </w:r>
    </w:p>
    <w:p>
      <w:pPr>
        <w:spacing w:after="80" w:line="276" w:lineRule="auto"/>
        <w:ind w:left="360"/>
      </w:pPr>
      <w:r>
        <w:t>• Confidence figures shown to the user are calibrated by temperature scaling rather than being raw softmax outputs. This is an ethical point as much as a technical one: an uncalibrated network reports something like 97% on predictions that are correct far less often, and presenting that number to a farmer deciding whether to spend money on chemicals would materially misrepresent the system's certainty.</w:t>
      </w:r>
    </w:p>
    <w:p>
      <w:pPr>
        <w:spacing w:after="80" w:line="276" w:lineRule="auto"/>
        <w:ind w:left="360"/>
      </w:pPr>
      <w:r>
        <w:t>• The system's limitations are measured and published rather than described in general terms. Section 4.3 reports the false-acceptance rate on out-of-scope imagery, and accuracy under eight forms of image degradation approximating real field photography, precisely because clean-dataset accuracy is known to overstate field performance for models trained on this corpus.</w:t>
      </w:r>
    </w:p>
    <w:p>
      <w:pPr>
        <w:spacing w:after="80" w:line="276" w:lineRule="auto"/>
        <w:ind w:left="360"/>
      </w:pPr>
      <w:r>
        <w:t>• The division of labour between the local and hosted engines is disclosed in the interface: each result indicates which engine produced it, and locally produced diagnoses carry a Grad-CAM overlay so the user can see which part of the leaf the system responded to rather than being asked to trust an unexplained label.</w:t>
      </w:r>
    </w:p>
    <w:p>
      <w:pPr>
        <w:keepNext/>
        <w:spacing w:before="360" w:after="120"/>
      </w:pPr>
      <w:r>
        <w:rPr>
          <w:rFonts w:ascii="Arial" w:hAnsi="Arial"/>
          <w:b/>
          <w:color w:val="2E7559"/>
          <w:sz w:val="32"/>
        </w:rPr>
      </w:r>
    </w:p>
    <w:p>
      <w:pPr>
        <w:keepNext/>
        <w:spacing w:before="360" w:after="120"/>
      </w:pPr>
      <w:r>
        <w:rPr>
          <w:rFonts w:ascii="Arial" w:hAnsi="Arial"/>
          <w:b/>
          <w:color w:val="2E7559"/>
          <w:sz w:val="32"/>
        </w:rPr>
        <w:t>7. REQUIRED DIGITAL ASSETS &amp; HOSTING LINKS</w:t>
      </w:r>
    </w:p>
    <w:p>
      <w:pPr>
        <w:spacing w:after="80" w:line="276" w:lineRule="auto"/>
        <w:ind w:left="360"/>
      </w:pPr>
      <w:r>
        <w:rPr>
          <w:b/>
        </w:rPr>
        <w:t>• Production Web Deployment:</w:t>
      </w:r>
      <w:r/>
    </w:p>
    <w:p>
      <w:pPr>
        <w:spacing w:after="120" w:line="276" w:lineRule="auto"/>
      </w:pPr>
      <w:r>
        <w:t>https://agridoctor.cloud</w:t>
      </w:r>
    </w:p>
    <w:p>
      <w:pPr>
        <w:spacing w:after="120" w:line="276" w:lineRule="auto"/>
      </w:pPr>
      <w:r>
        <w:t>(Hosted on a secure VPS instance with Let's Encrypt SSL. Accessible to anyone, verified functional, and guaranteed active through September 1st, 2026.)</w:t>
      </w:r>
    </w:p>
    <w:p>
      <w:pPr>
        <w:spacing w:after="80" w:line="276" w:lineRule="auto"/>
        <w:ind w:left="360"/>
      </w:pPr>
      <w:r>
        <w:t>• Git Repository (Complete Source Code &amp; Resources):</w:t>
      </w:r>
    </w:p>
    <w:p>
      <w:pPr>
        <w:spacing w:after="120" w:line="276" w:lineRule="auto"/>
      </w:pPr>
      <w:r>
        <w:t>https://github.com/Sarifkhan1/AgriDoctor</w:t>
      </w:r>
    </w:p>
    <w:p>
      <w:pPr>
        <w:spacing w:after="120" w:line="276" w:lineRule="auto"/>
      </w:pPr>
      <w:r>
        <w:t>(Publicly accessible GitHub repository containing the complete backend FastAPI service, the frontend PWA code, deployment configurations, and all experimental PyTorch scripts.)</w:t>
      </w:r>
    </w:p>
    <w:p>
      <w:pPr>
        <w:spacing w:after="80" w:line="276" w:lineRule="auto"/>
        <w:ind w:left="360"/>
      </w:pPr>
      <w:r>
        <w:rPr>
          <w:b/>
        </w:rPr>
        <w:t>• Video Demonstration:</w:t>
      </w:r>
      <w:r/>
    </w:p>
    <w:p>
      <w:pPr>
        <w:spacing w:after="120" w:line="276" w:lineRule="auto"/>
      </w:pPr>
      <w:r>
        <w:t>https://youtu.be/SOlaeAC4mLw</w:t>
      </w:r>
    </w:p>
    <w:p>
      <w:pPr>
        <w:spacing w:after="120" w:line="276" w:lineRule="auto"/>
      </w:pPr>
      <w:r>
        <w:t>(A complete video walkthrough showing the application workflow, voice integrations, and out-of-scope rejection scenarios.)</w:t>
      </w:r>
    </w:p>
    <w:p>
      <w:pPr>
        <w:keepNext/>
        <w:spacing w:before="360" w:after="120"/>
      </w:pPr>
      <w:r>
        <w:rPr>
          <w:rFonts w:ascii="Arial" w:hAnsi="Arial"/>
          <w:b/>
          <w:color w:val="2E7559"/>
          <w:sz w:val="32"/>
        </w:rPr>
      </w:r>
    </w:p>
    <w:p>
      <w:pPr>
        <w:keepNext/>
        <w:spacing w:before="360" w:after="120"/>
      </w:pPr>
      <w:r>
        <w:rPr>
          <w:rFonts w:ascii="Arial" w:hAnsi="Arial"/>
          <w:b/>
          <w:color w:val="2E7559"/>
          <w:sz w:val="32"/>
        </w:rPr>
        <w:t>8. BIBLIOGRAPHY &amp; REFERENCES (IEEE STYLE)</w:t>
      </w:r>
    </w:p>
    <w:p>
      <w:pPr>
        <w:spacing w:after="120" w:line="276" w:lineRule="auto"/>
      </w:pPr>
      <w:r>
        <w:t>[1] A. Dosovitskiy et al., "An Image is Worth 16x16 Words: Transformers for Image Recognition at Scale," in International Conference on Learning Representations (ICLR), 2021. [Online]. Available: https://arxiv.org/abs/2010.11929</w:t>
      </w:r>
    </w:p>
    <w:p>
      <w:pPr>
        <w:spacing w:after="120" w:line="276" w:lineRule="auto"/>
      </w:pPr>
      <w:r>
        <w:t>[2] V. Sanh, L. Debut, J. Chaumond, and T. Wolf, "DistilBERT, a distilled version of BERT: smaller, faster, cheaper and lighter," arXiv preprint arXiv:1910.01108, 2019. [Online]. Available: https://arxiv.org/abs/1910.01108</w:t>
      </w:r>
    </w:p>
    <w:p>
      <w:pPr>
        <w:spacing w:after="120" w:line="276" w:lineRule="auto"/>
      </w:pPr>
      <w:r>
        <w:rPr>
          <w:b/>
        </w:rPr>
        <w:t>[3] S. Antol et al., "VQA:</w:t>
      </w:r>
      <w:r>
        <w:t xml:space="preserve"> Visual Question Answering," in IEEE International Conference on Computer Vision (ICCV), 2015, pp. 2425-2433. [Online]. Available: https://arxiv.org/abs/1505.00468</w:t>
      </w:r>
    </w:p>
    <w:p>
      <w:pPr>
        <w:spacing w:after="120" w:line="276" w:lineRule="auto"/>
      </w:pPr>
      <w:r>
        <w:t>[4] A. Radford et al., "Robust Speech Recognition via Large-Scale Weak Supervision," arXiv preprint arXiv:2212.04356, 2022. [Online]. Available: https://arxiv.org/abs/2212.04356</w:t>
      </w:r>
    </w:p>
    <w:p>
      <w:pPr>
        <w:spacing w:after="120" w:line="276" w:lineRule="auto"/>
      </w:pPr>
      <w:r>
        <w:t>[5] D. P. Hughes and M. Salathé, "An open access repository of images on plant health to enable the development of mobile disease diagnostics," arXiv preprint arXiv:1511.08060, 2015. [Online]. Available: https://arxiv.org/abs/1511.08060</w:t>
      </w:r>
    </w:p>
    <w:p>
      <w:pPr>
        <w:spacing w:after="120" w:line="276" w:lineRule="auto"/>
      </w:pPr>
      <w:r>
        <w:t>[6] Association for Computing Machinery, "ACM Code of Ethics and Professional Conduct," ACM, 2018. [Online]. Available: https://www.acm.org/code-of-ethics</w:t>
      </w:r>
    </w:p>
    <w:p>
      <w:pPr>
        <w:spacing w:after="120" w:line="276" w:lineRule="auto"/>
      </w:pPr>
      <w:r>
        <w:t>[7] Food and Agriculture Organization of the United Nations (FAO), "New standards to curb the global spread of plant pests and diseases," FAO Newsroom, 2021. [Online]. Available: https://www.fao.org/newsroom/detail/New-standards-to-curb-the-global-spread-of-plant-pests-and-diseases/en</w:t>
      </w:r>
    </w:p>
    <w:p>
      <w:pPr>
        <w:spacing w:after="120" w:line="276" w:lineRule="auto"/>
      </w:pPr>
      <w:r>
        <w:t>[8] Food and Agriculture Organization of the United Nations (FAO), "Understanding the context — Pest and Pesticide Management," FAO, 2021. [Online]. Available: https://www.fao.org/pest-and-pesticide-management/about/understanding-the-context/en/</w:t>
      </w:r>
    </w:p>
    <w:p>
      <w:pPr>
        <w:spacing w:after="120" w:line="276" w:lineRule="auto"/>
      </w:pPr>
      <w:r>
        <w:t>[9] GSMA, "Detecting and managing crop pests and diseases with AI: Insights from Plantix," GSMA Agritech, 2020. [Online]. Available: https://www.gsma.com/solutions-and-impact/connectivity-for-good/mobile-for-development/programme/agritech/detecting-and-managing-crop-pests-and-diseases-with-ai-insights-from-plantix/</w:t>
      </w:r>
    </w:p>
    <w:p>
      <w:pPr>
        <w:spacing w:after="120" w:line="276" w:lineRule="auto"/>
      </w:pPr>
      <w:r>
        <w:rPr>
          <w:b/>
        </w:rPr>
        <w:t>[10] M. Tan and Q. V. Le, "EfficientNet:</w:t>
      </w:r>
      <w:r>
        <w:t xml:space="preserve"> Rethinking Model Scaling for Convolutional Neural Networks," in International Conference on Machine Learning (ICML), 2019. [Online]. Available: https://arxiv.org/abs/1905.11946</w:t>
      </w:r>
    </w:p>
    <w:p>
      <w:pPr>
        <w:spacing w:after="120" w:line="276" w:lineRule="auto"/>
      </w:pPr>
      <w:r>
        <w:t>[11] C. Guo, G. Pleiss, Y. Sun, and K. Q. Weinberger, "On Calibration of Modern Neural Networks," in International Conference on Machine Learning (ICML), 2017. [Online]. Available: https://arxiv.org/abs/1706.04599</w:t>
      </w:r>
    </w:p>
    <w:p>
      <w:pPr>
        <w:spacing w:after="120" w:line="276" w:lineRule="auto"/>
      </w:pPr>
      <w:r>
        <w:rPr>
          <w:b/>
        </w:rPr>
        <w:t>[12] R. R. Selvaraju et al., "Grad-CAM:</w:t>
      </w:r>
      <w:r>
        <w:t xml:space="preserve"> Visual Explanations from Deep Networks via Gradient-based Localization," in IEEE International Conference on Computer Vision (ICCV), 2017, pp. 618-626. [Online]. Available: https://arxiv.org/abs/1610.02391</w:t>
      </w:r>
    </w:p>
    <w:p>
      <w:pPr>
        <w:spacing w:after="120" w:line="276" w:lineRule="auto"/>
      </w:pPr>
      <w:r>
        <w:t>[13] H. Zhang, M. Cisse, Y. N. Dauphin, and D. Lopez-Paz, "mixup: Beyond Empirical Risk Minimization," in International Conference on Learning Representations (ICLR), 2018. [Online]. Available: https://arxiv.org/abs/1710.09412</w:t>
      </w:r>
    </w:p>
    <w:p>
      <w:pPr>
        <w:spacing w:after="120" w:line="276" w:lineRule="auto"/>
      </w:pPr>
      <w:r>
        <w:rPr>
          <w:b/>
        </w:rPr>
        <w:t>[14] S. Yun et al., "CutMix:</w:t>
      </w:r>
      <w:r>
        <w:t xml:space="preserve"> Regularization Strategy to Train Strong Classifiers with Localizable Features," in IEEE International Conference on Computer Vision (ICCV), 2019, pp. 6023-6032. [Online]. Available: https://arxiv.org/abs/1905.04899</w:t>
      </w:r>
    </w:p>
    <w:p>
      <w:pPr>
        <w:spacing w:after="120" w:line="276" w:lineRule="auto"/>
      </w:pPr>
      <w:r>
        <w:t>[15] D. Hendrycks and T. Dietterich, "Benchmarking Neural Network Robustness to Common Corruptions and Perturbations," in International Conference on Learning Representations (ICLR), 2019. [Online]. Available: https://arxiv.org/abs/1903.12261</w:t>
      </w:r>
    </w:p>
    <w:p>
      <w:pPr>
        <w:keepNext/>
        <w:spacing w:before="360" w:after="120"/>
      </w:pPr>
      <w:r>
        <w:rPr>
          <w:rFonts w:ascii="Arial" w:hAnsi="Arial"/>
          <w:b/>
          <w:color w:val="2E7559"/>
          <w:sz w:val="32"/>
        </w:rPr>
        <w:t>[16] D. Hendrycks and K. Gimpel, "A Baseline for Detecting Misclassified and Out-of-Distribution Examples in Neural Networks," in International Conference on Learning Representations (ICLR), 2017. [Online]. Available: https://arxiv.org/abs/1610.02136</w:t>
      </w:r>
    </w:p>
    <w:p>
      <w:r>
        <w:br w:type="page"/>
      </w:r>
    </w:p>
    <w:p>
      <w:pPr>
        <w:keepNext/>
        <w:spacing w:before="360" w:after="120"/>
      </w:pPr>
      <w:r>
        <w:rPr>
          <w:rFonts w:ascii="Arial" w:hAnsi="Arial"/>
          <w:b/>
          <w:color w:val="2E7559"/>
          <w:sz w:val="32"/>
        </w:rPr>
        <w:t>9. PROMOTIONAL VIDEO STORYBOARD</w:t>
      </w:r>
    </w:p>
    <w:p>
      <w:pPr>
        <w:spacing w:after="120" w:line="276" w:lineRule="auto"/>
      </w:pPr>
      <w:r>
        <w:t>To showcase the deployment capabilities and interactive workflow of AgriDoctor AI to farmers and stakeholders, a 1-minute promotional video storyboard was designed. The sequence is broken down as follows: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559"/>
            <w:tcMar>
              <w:top w:w="120" w:type="dxa"/>
              <w:bottom w:w="120" w:type="dxa"/>
              <w:left w:w="150" w:type="dxa"/>
              <w:right w:w="150" w:type="dxa"/>
            </w:tcMar>
          </w:tcPr>
          <w:p>
            <w:r>
              <w:rPr>
                <w:b/>
                <w:color w:val="FFFFFF"/>
                <w:sz w:val="19"/>
              </w:rPr>
              <w:t>Time</w:t>
            </w:r>
          </w:p>
        </w:tc>
        <w:tc>
          <w:tcPr>
            <w:tcW w:type="dxa" w:w="2340"/>
            <w:shd w:fill="2E7559"/>
            <w:tcMar>
              <w:top w:w="120" w:type="dxa"/>
              <w:bottom w:w="120" w:type="dxa"/>
              <w:left w:w="150" w:type="dxa"/>
              <w:right w:w="150" w:type="dxa"/>
            </w:tcMar>
          </w:tcPr>
          <w:p>
            <w:r>
              <w:rPr>
                <w:b/>
                <w:color w:val="FFFFFF"/>
                <w:sz w:val="19"/>
              </w:rPr>
              <w:t>Visual Scene</w:t>
            </w:r>
          </w:p>
        </w:tc>
        <w:tc>
          <w:tcPr>
            <w:tcW w:type="dxa" w:w="2340"/>
            <w:shd w:fill="2E7559"/>
            <w:tcMar>
              <w:top w:w="120" w:type="dxa"/>
              <w:bottom w:w="120" w:type="dxa"/>
              <w:left w:w="150" w:type="dxa"/>
              <w:right w:w="150" w:type="dxa"/>
            </w:tcMar>
          </w:tcPr>
          <w:p>
            <w:r>
              <w:rPr>
                <w:b/>
                <w:color w:val="FFFFFF"/>
                <w:sz w:val="19"/>
              </w:rPr>
              <w:t>Audio / Voiceover</w:t>
            </w:r>
          </w:p>
        </w:tc>
        <w:tc>
          <w:tcPr>
            <w:tcW w:type="dxa" w:w="2340"/>
            <w:shd w:fill="2E7559"/>
            <w:tcMar>
              <w:top w:w="120" w:type="dxa"/>
              <w:bottom w:w="120" w:type="dxa"/>
              <w:left w:w="150" w:type="dxa"/>
              <w:right w:w="150" w:type="dxa"/>
            </w:tcMar>
          </w:tcPr>
          <w:p>
            <w:r>
              <w:rPr>
                <w:b/>
                <w:color w:val="FFFFFF"/>
                <w:sz w:val="19"/>
              </w:rPr>
              <w:t>On-Screen Text</w:t>
            </w:r>
          </w:p>
        </w:tc>
      </w:tr>
      <w:tr>
        <w:tc>
          <w:tcPr>
            <w:tcW w:type="dxa" w:w="2340"/>
            <w:tcMar>
              <w:top w:w="100" w:type="dxa"/>
              <w:bottom w:w="100" w:type="dxa"/>
              <w:left w:w="120" w:type="dxa"/>
              <w:right w:w="120" w:type="dxa"/>
            </w:tcMar>
          </w:tcPr>
          <w:p>
            <w:pPr>
              <w:spacing w:line="276" w:lineRule="auto"/>
            </w:pPr>
            <w:r>
              <w:rPr>
                <w:rFonts w:ascii="Arial" w:hAnsi="Arial"/>
                <w:sz w:val="17"/>
              </w:rPr>
              <w:t>00:00–00:08</w:t>
            </w:r>
          </w:p>
        </w:tc>
        <w:tc>
          <w:tcPr>
            <w:tcW w:type="dxa" w:w="2340"/>
            <w:tcMar>
              <w:top w:w="100" w:type="dxa"/>
              <w:bottom w:w="100" w:type="dxa"/>
              <w:left w:w="120" w:type="dxa"/>
              <w:right w:w="120" w:type="dxa"/>
            </w:tcMar>
          </w:tcPr>
          <w:p>
            <w:pPr>
              <w:spacing w:line="276" w:lineRule="auto"/>
            </w:pPr>
            <w:r>
              <w:rPr>
                <w:rFonts w:ascii="Arial" w:hAnsi="Arial"/>
                <w:sz w:val="17"/>
              </w:rPr>
              <w:t>Close-up of a diseased tomato leaf; a farmer looking concerned with a phone.</w:t>
            </w:r>
          </w:p>
        </w:tc>
        <w:tc>
          <w:tcPr>
            <w:tcW w:type="dxa" w:w="2340"/>
            <w:tcMar>
              <w:top w:w="100" w:type="dxa"/>
              <w:bottom w:w="100" w:type="dxa"/>
              <w:left w:w="120" w:type="dxa"/>
              <w:right w:w="120" w:type="dxa"/>
            </w:tcMar>
          </w:tcPr>
          <w:p>
            <w:pPr>
              <w:spacing w:line="276" w:lineRule="auto"/>
            </w:pPr>
            <w:r>
              <w:rPr>
                <w:rFonts w:ascii="Arial" w:hAnsi="Arial"/>
                <w:sz w:val="17"/>
              </w:rPr>
              <w:t>Tense pad; VO: "Every year, pests and diseases wipe out a huge share of the world's food."</w:t>
            </w:r>
          </w:p>
        </w:tc>
        <w:tc>
          <w:tcPr>
            <w:tcW w:type="dxa" w:w="2340"/>
            <w:tcMar>
              <w:top w:w="100" w:type="dxa"/>
              <w:bottom w:w="100" w:type="dxa"/>
              <w:left w:w="120" w:type="dxa"/>
              <w:right w:w="120" w:type="dxa"/>
            </w:tcMar>
          </w:tcPr>
          <w:p>
            <w:pPr>
              <w:spacing w:line="276" w:lineRule="auto"/>
            </w:pPr>
            <w:r>
              <w:rPr>
                <w:rFonts w:ascii="Arial" w:hAnsi="Arial"/>
                <w:sz w:val="17"/>
              </w:rPr>
              <w:t>20–40% of crops lost each year (FAO)</w:t>
            </w:r>
          </w:p>
        </w:tc>
      </w:tr>
      <w:tr>
        <w:tc>
          <w:tcPr>
            <w:tcW w:type="dxa" w:w="2340"/>
            <w:tcMar>
              <w:top w:w="100" w:type="dxa"/>
              <w:bottom w:w="100" w:type="dxa"/>
              <w:left w:w="120" w:type="dxa"/>
              <w:right w:w="120" w:type="dxa"/>
            </w:tcMar>
          </w:tcPr>
          <w:p>
            <w:pPr>
              <w:spacing w:line="276" w:lineRule="auto"/>
            </w:pPr>
            <w:r>
              <w:rPr>
                <w:rFonts w:ascii="Arial" w:hAnsi="Arial"/>
                <w:sz w:val="17"/>
              </w:rPr>
              <w:t>00:08–00:18</w:t>
            </w:r>
          </w:p>
        </w:tc>
        <w:tc>
          <w:tcPr>
            <w:tcW w:type="dxa" w:w="2340"/>
            <w:tcMar>
              <w:top w:w="100" w:type="dxa"/>
              <w:bottom w:w="100" w:type="dxa"/>
              <w:left w:w="120" w:type="dxa"/>
              <w:right w:w="120" w:type="dxa"/>
            </w:tcMar>
          </w:tcPr>
          <w:p>
            <w:pPr>
              <w:spacing w:line="276" w:lineRule="auto"/>
            </w:pPr>
            <w:r>
              <w:rPr>
                <w:rFonts w:ascii="Arial" w:hAnsi="Arial"/>
                <w:sz w:val="17"/>
              </w:rPr>
              <w:t>Sunrise over fields; the AgriDoctor PWA opening.</w:t>
            </w:r>
          </w:p>
        </w:tc>
        <w:tc>
          <w:tcPr>
            <w:tcW w:type="dxa" w:w="2340"/>
            <w:tcMar>
              <w:top w:w="100" w:type="dxa"/>
              <w:bottom w:w="100" w:type="dxa"/>
              <w:left w:w="120" w:type="dxa"/>
              <w:right w:w="120" w:type="dxa"/>
            </w:tcMar>
          </w:tcPr>
          <w:p>
            <w:pPr>
              <w:spacing w:line="276" w:lineRule="auto"/>
            </w:pPr>
            <w:r>
              <w:rPr>
                <w:rFonts w:ascii="Arial" w:hAnsi="Arial"/>
                <w:sz w:val="17"/>
              </w:rPr>
              <w:t>Hopeful piano; VO: "Meet AgriDoctor — a first-opinion diagnostic assistant for farmers."</w:t>
            </w:r>
          </w:p>
        </w:tc>
        <w:tc>
          <w:tcPr>
            <w:tcW w:type="dxa" w:w="2340"/>
            <w:tcMar>
              <w:top w:w="100" w:type="dxa"/>
              <w:bottom w:w="100" w:type="dxa"/>
              <w:left w:w="120" w:type="dxa"/>
              <w:right w:w="120" w:type="dxa"/>
            </w:tcMar>
          </w:tcPr>
          <w:p>
            <w:pPr>
              <w:spacing w:line="276" w:lineRule="auto"/>
            </w:pPr>
            <w:r>
              <w:rPr>
                <w:rFonts w:ascii="Arial" w:hAnsi="Arial"/>
                <w:sz w:val="17"/>
              </w:rPr>
              <w:t>AgriDoctor 🌿 *Your pocket first opinion*</w:t>
            </w:r>
          </w:p>
        </w:tc>
      </w:tr>
      <w:tr>
        <w:tc>
          <w:tcPr>
            <w:tcW w:type="dxa" w:w="2340"/>
            <w:tcMar>
              <w:top w:w="100" w:type="dxa"/>
              <w:bottom w:w="100" w:type="dxa"/>
              <w:left w:w="120" w:type="dxa"/>
              <w:right w:w="120" w:type="dxa"/>
            </w:tcMar>
          </w:tcPr>
          <w:p>
            <w:pPr>
              <w:spacing w:line="276" w:lineRule="auto"/>
            </w:pPr>
            <w:r>
              <w:rPr>
                <w:rFonts w:ascii="Arial" w:hAnsi="Arial"/>
                <w:sz w:val="17"/>
              </w:rPr>
              <w:t>00:18–00:32</w:t>
            </w:r>
          </w:p>
        </w:tc>
        <w:tc>
          <w:tcPr>
            <w:tcW w:type="dxa" w:w="2340"/>
            <w:tcMar>
              <w:top w:w="100" w:type="dxa"/>
              <w:bottom w:w="100" w:type="dxa"/>
              <w:left w:w="120" w:type="dxa"/>
              <w:right w:w="120" w:type="dxa"/>
            </w:tcMar>
          </w:tcPr>
          <w:p>
            <w:pPr>
              <w:spacing w:line="276" w:lineRule="auto"/>
            </w:pPr>
            <w:r>
              <w:rPr>
                <w:rFonts w:ascii="Arial" w:hAnsi="Arial"/>
                <w:sz w:val="17"/>
              </w:rPr>
              <w:t>Snapping a leaf photo; holding the mic button; a waveform pulses.</w:t>
            </w:r>
          </w:p>
        </w:tc>
        <w:tc>
          <w:tcPr>
            <w:tcW w:type="dxa" w:w="2340"/>
            <w:tcMar>
              <w:top w:w="100" w:type="dxa"/>
              <w:bottom w:w="100" w:type="dxa"/>
              <w:left w:w="120" w:type="dxa"/>
              <w:right w:w="120" w:type="dxa"/>
            </w:tcMar>
          </w:tcPr>
          <w:p>
            <w:pPr>
              <w:spacing w:line="276" w:lineRule="auto"/>
            </w:pPr>
            <w:r>
              <w:rPr>
                <w:rFonts w:ascii="Arial" w:hAnsi="Arial"/>
                <w:sz w:val="17"/>
              </w:rPr>
              <w:t>Camera click, soft beep; VO: "Snap a photo and describe the symptoms by voice or text."</w:t>
            </w:r>
          </w:p>
        </w:tc>
        <w:tc>
          <w:tcPr>
            <w:tcW w:type="dxa" w:w="2340"/>
            <w:tcMar>
              <w:top w:w="100" w:type="dxa"/>
              <w:bottom w:w="100" w:type="dxa"/>
              <w:left w:w="120" w:type="dxa"/>
              <w:right w:w="120" w:type="dxa"/>
            </w:tcMar>
          </w:tcPr>
          <w:p>
            <w:pPr>
              <w:spacing w:line="276" w:lineRule="auto"/>
            </w:pPr>
            <w:r>
              <w:rPr>
                <w:rFonts w:ascii="Arial" w:hAnsi="Arial"/>
                <w:sz w:val="17"/>
              </w:rPr>
              <w:t>Snap · Speak · Diagnose • Camera • Whisper voice notes</w:t>
            </w:r>
          </w:p>
        </w:tc>
      </w:tr>
      <w:tr>
        <w:tc>
          <w:tcPr>
            <w:tcW w:type="dxa" w:w="2340"/>
            <w:tcMar>
              <w:top w:w="100" w:type="dxa"/>
              <w:bottom w:w="100" w:type="dxa"/>
              <w:left w:w="120" w:type="dxa"/>
              <w:right w:w="120" w:type="dxa"/>
            </w:tcMar>
          </w:tcPr>
          <w:p>
            <w:pPr>
              <w:spacing w:line="276" w:lineRule="auto"/>
            </w:pPr>
            <w:r>
              <w:rPr>
                <w:rFonts w:ascii="Arial" w:hAnsi="Arial"/>
                <w:sz w:val="17"/>
              </w:rPr>
              <w:t>00:32–00:46</w:t>
            </w:r>
          </w:p>
        </w:tc>
        <w:tc>
          <w:tcPr>
            <w:tcW w:type="dxa" w:w="2340"/>
            <w:tcMar>
              <w:top w:w="100" w:type="dxa"/>
              <w:bottom w:w="100" w:type="dxa"/>
              <w:left w:w="120" w:type="dxa"/>
              <w:right w:w="120" w:type="dxa"/>
            </w:tcMar>
          </w:tcPr>
          <w:p>
            <w:pPr>
              <w:spacing w:line="276" w:lineRule="auto"/>
            </w:pPr>
            <w:r>
              <w:rPr>
                <w:rFonts w:ascii="Arial" w:hAnsi="Arial"/>
                <w:sz w:val="17"/>
              </w:rPr>
              <w:t>The result card animates in: crop, disease, confidence, severity bar, advice. Then a photo of a *car* is shown being politely refused.</w:t>
            </w:r>
          </w:p>
        </w:tc>
        <w:tc>
          <w:tcPr>
            <w:tcW w:type="dxa" w:w="2340"/>
            <w:tcMar>
              <w:top w:w="100" w:type="dxa"/>
              <w:bottom w:w="100" w:type="dxa"/>
              <w:left w:w="120" w:type="dxa"/>
              <w:right w:w="120" w:type="dxa"/>
            </w:tcMar>
          </w:tcPr>
          <w:p>
            <w:pPr>
              <w:spacing w:line="276" w:lineRule="auto"/>
            </w:pPr>
            <w:r>
              <w:rPr>
                <w:rFonts w:ascii="Arial" w:hAnsi="Arial"/>
                <w:sz w:val="17"/>
              </w:rPr>
              <w:t>VO: "It looks at the actual image, works across 8 crops and 4 livestock — and, crucially, tells you when it *isn't* sure or the photo isn't supported."</w:t>
            </w:r>
          </w:p>
        </w:tc>
        <w:tc>
          <w:tcPr>
            <w:tcW w:type="dxa" w:w="2340"/>
            <w:tcMar>
              <w:top w:w="100" w:type="dxa"/>
              <w:bottom w:w="100" w:type="dxa"/>
              <w:left w:w="120" w:type="dxa"/>
              <w:right w:w="120" w:type="dxa"/>
            </w:tcMar>
          </w:tcPr>
          <w:p>
            <w:pPr>
              <w:spacing w:line="276" w:lineRule="auto"/>
            </w:pPr>
            <w:r>
              <w:rPr>
                <w:rFonts w:ascii="Arial" w:hAnsi="Arial"/>
                <w:sz w:val="17"/>
              </w:rPr>
              <w:t>Real analysis + honest limits • 12 subjects • Rejects out-of-scope images</w:t>
            </w:r>
          </w:p>
        </w:tc>
      </w:tr>
      <w:tr>
        <w:tc>
          <w:tcPr>
            <w:tcW w:type="dxa" w:w="2340"/>
            <w:tcMar>
              <w:top w:w="100" w:type="dxa"/>
              <w:bottom w:w="100" w:type="dxa"/>
              <w:left w:w="120" w:type="dxa"/>
              <w:right w:w="120" w:type="dxa"/>
            </w:tcMar>
          </w:tcPr>
          <w:p>
            <w:pPr>
              <w:spacing w:line="276" w:lineRule="auto"/>
            </w:pPr>
            <w:r>
              <w:rPr>
                <w:rFonts w:ascii="Arial" w:hAnsi="Arial"/>
                <w:sz w:val="17"/>
              </w:rPr>
              <w:t>00:46–00:55</w:t>
            </w:r>
          </w:p>
        </w:tc>
        <w:tc>
          <w:tcPr>
            <w:tcW w:type="dxa" w:w="2340"/>
            <w:tcMar>
              <w:top w:w="100" w:type="dxa"/>
              <w:bottom w:w="100" w:type="dxa"/>
              <w:left w:w="120" w:type="dxa"/>
              <w:right w:w="120" w:type="dxa"/>
            </w:tcMar>
          </w:tcPr>
          <w:p>
            <w:pPr>
              <w:spacing w:line="276" w:lineRule="auto"/>
            </w:pPr>
            <w:r>
              <w:rPr>
                <w:rFonts w:ascii="Arial" w:hAnsi="Arial"/>
                <w:sz w:val="17"/>
              </w:rPr>
              <w:t>The advice panel: immediate steps, prevention, and a vet-referral note for livestock.</w:t>
            </w:r>
          </w:p>
        </w:tc>
        <w:tc>
          <w:tcPr>
            <w:tcW w:type="dxa" w:w="2340"/>
            <w:tcMar>
              <w:top w:w="100" w:type="dxa"/>
              <w:bottom w:w="100" w:type="dxa"/>
              <w:left w:w="120" w:type="dxa"/>
              <w:right w:w="120" w:type="dxa"/>
            </w:tcMar>
          </w:tcPr>
          <w:p>
            <w:pPr>
              <w:spacing w:line="276" w:lineRule="auto"/>
            </w:pPr>
            <w:r>
              <w:rPr>
                <w:rFonts w:ascii="Arial" w:hAnsi="Arial"/>
                <w:sz w:val="17"/>
              </w:rPr>
              <w:t>Upbeat; VO: "Get clear, structured advice — and a reminder to confirm with a local expert."</w:t>
            </w:r>
          </w:p>
        </w:tc>
        <w:tc>
          <w:tcPr>
            <w:tcW w:type="dxa" w:w="2340"/>
            <w:tcMar>
              <w:top w:w="100" w:type="dxa"/>
              <w:bottom w:w="100" w:type="dxa"/>
              <w:left w:w="120" w:type="dxa"/>
              <w:right w:w="120" w:type="dxa"/>
            </w:tcMar>
          </w:tcPr>
          <w:p>
            <w:pPr>
              <w:spacing w:line="276" w:lineRule="auto"/>
            </w:pPr>
            <w:r>
              <w:rPr>
                <w:rFonts w:ascii="Arial" w:hAnsi="Arial"/>
                <w:sz w:val="17"/>
              </w:rPr>
              <w:t>Actionable, responsible advice</w:t>
            </w:r>
          </w:p>
        </w:tc>
      </w:tr>
      <w:tr>
        <w:tc>
          <w:tcPr>
            <w:tcW w:type="dxa" w:w="2340"/>
            <w:tcMar>
              <w:top w:w="100" w:type="dxa"/>
              <w:bottom w:w="100" w:type="dxa"/>
              <w:left w:w="120" w:type="dxa"/>
              <w:right w:w="120" w:type="dxa"/>
            </w:tcMar>
          </w:tcPr>
          <w:p>
            <w:pPr>
              <w:spacing w:line="276" w:lineRule="auto"/>
            </w:pPr>
            <w:r>
              <w:rPr>
                <w:rFonts w:ascii="Arial" w:hAnsi="Arial"/>
                <w:sz w:val="17"/>
              </w:rPr>
              <w:t>00:55–01:00</w:t>
            </w:r>
          </w:p>
        </w:tc>
        <w:tc>
          <w:tcPr>
            <w:tcW w:type="dxa" w:w="2340"/>
            <w:tcMar>
              <w:top w:w="100" w:type="dxa"/>
              <w:bottom w:w="100" w:type="dxa"/>
              <w:left w:w="120" w:type="dxa"/>
              <w:right w:w="120" w:type="dxa"/>
            </w:tcMar>
          </w:tcPr>
          <w:p>
            <w:pPr>
              <w:spacing w:line="276" w:lineRule="auto"/>
            </w:pPr>
            <w:r>
              <w:rPr>
                <w:rFonts w:ascii="Arial" w:hAnsi="Arial"/>
                <w:sz w:val="17"/>
              </w:rPr>
              <w:t>Logo (leaf + cow) animates; repo link + QR.</w:t>
            </w:r>
          </w:p>
        </w:tc>
        <w:tc>
          <w:tcPr>
            <w:tcW w:type="dxa" w:w="2340"/>
            <w:tcMar>
              <w:top w:w="100" w:type="dxa"/>
              <w:bottom w:w="100" w:type="dxa"/>
              <w:left w:w="120" w:type="dxa"/>
              <w:right w:w="120" w:type="dxa"/>
            </w:tcMar>
          </w:tcPr>
          <w:p>
            <w:pPr>
              <w:spacing w:line="276" w:lineRule="auto"/>
            </w:pPr>
            <w:r>
              <w:rPr>
                <w:rFonts w:ascii="Arial" w:hAnsi="Arial"/>
                <w:sz w:val="17"/>
              </w:rPr>
              <w:t>Clean synth ding; VO: "AgriDoctor. Healthy crops, healthy future."</w:t>
            </w:r>
          </w:p>
        </w:tc>
        <w:tc>
          <w:tcPr>
            <w:tcW w:type="dxa" w:w="2340"/>
            <w:tcMar>
              <w:top w:w="100" w:type="dxa"/>
              <w:bottom w:w="100" w:type="dxa"/>
              <w:left w:w="120" w:type="dxa"/>
              <w:right w:w="120" w:type="dxa"/>
            </w:tcMar>
          </w:tcPr>
          <w:p>
            <w:pPr>
              <w:spacing w:line="276" w:lineRule="auto"/>
            </w:pPr>
            <w:r>
              <w:rPr>
                <w:rFonts w:ascii="Arial" w:hAnsi="Arial"/>
                <w:sz w:val="17"/>
              </w:rPr>
              <w:t>AgriDoctor 🌿🐄 *Mohammad Sarif Khan · 2238572*</w:t>
            </w:r>
          </w:p>
        </w:tc>
      </w:tr>
    </w:tbl>
    <w:p>
      <w:r>
        <w:br w:type="page"/>
      </w:r>
    </w:p>
    <w:p>
      <w:pPr>
        <w:keepNext/>
        <w:spacing w:before="360" w:after="120"/>
      </w:pPr>
      <w:r>
        <w:rPr>
          <w:rFonts w:ascii="Arial" w:hAnsi="Arial"/>
          <w:b/>
          <w:color w:val="2E7559"/>
          <w:sz w:val="32"/>
        </w:rPr>
        <w:t>10. A3 EXHIBITION POSTER BLUEPRINT</w:t>
      </w:r>
    </w:p>
    <w:p>
      <w:pPr>
        <w:spacing w:after="120" w:line="276" w:lineRule="auto"/>
      </w:pPr>
      <w:r>
        <w:t>An A3 vertical exhibition poster was designed as part of the public packaging. The technical wireframe grid and text details are outlined below:</w:t>
      </w:r>
    </w:p>
    <w:p>
      <w:pPr>
        <w:keepNext/>
        <w:spacing w:before="240" w:after="80"/>
      </w:pPr>
      <w:r>
        <w:rPr>
          <w:rFonts w:ascii="Arial" w:hAnsi="Arial"/>
          <w:b/>
          <w:color w:val="2E7559"/>
          <w:sz w:val="25"/>
        </w:rPr>
        <w:t>10.1 Layout &amp; Visual Tokens</w:t>
      </w:r>
    </w:p>
    <w:p>
      <w:pPr>
        <w:spacing w:after="120" w:line="276" w:lineRule="auto"/>
      </w:pPr>
      <w:r>
        <w:rPr>
          <w:b/>
        </w:rPr>
        <w:t xml:space="preserve">* Dimensions: </w:t>
      </w:r>
      <w:r>
        <w:t>A3 vertical (297 x 420 mm) with a 10 mm border constraint.</w:t>
      </w:r>
    </w:p>
    <w:p>
      <w:pPr>
        <w:spacing w:after="120" w:line="276" w:lineRule="auto"/>
      </w:pPr>
      <w:r>
        <w:rPr>
          <w:b/>
        </w:rPr>
        <w:t xml:space="preserve">* Palette: </w:t>
      </w:r>
      <w:r>
        <w:t>Dark Theme, Forest Green primary (#2E7559), Emerald accent (#10B981), high-contrast white text.</w:t>
      </w:r>
    </w:p>
    <w:p>
      <w:pPr>
        <w:spacing w:after="120" w:line="276" w:lineRule="auto"/>
      </w:pPr>
      <w:r>
        <w:rPr>
          <w:b/>
        </w:rPr>
        <w:t xml:space="preserve">* Typography: </w:t>
      </w:r>
      <w:r>
        <w:t>Outfit for large punchy headings, Inter for readable paragraphs.</w:t>
      </w:r>
    </w:p>
    <w:p>
      <w:pPr>
        <w:keepNext/>
        <w:spacing w:before="240" w:after="80"/>
      </w:pPr>
      <w:r>
        <w:rPr>
          <w:rFonts w:ascii="Arial" w:hAnsi="Arial"/>
          <w:b/>
          <w:color w:val="2E7559"/>
          <w:sz w:val="25"/>
        </w:rPr>
        <w:t>10.2 Wireframe Layout Grid</w:t>
      </w:r>
    </w:p>
    <w:p>
      <w:pPr>
        <w:spacing w:before="120" w:after="120" w:line="240" w:lineRule="auto"/>
        <w:ind w:left="576"/>
        <w:shd w:fill="F8F9FA"/>
      </w:pPr>
      <w:r>
        <w:rPr>
          <w:rFonts w:ascii="Consolas" w:hAnsi="Consolas"/>
          <w:color w:val="212529"/>
          <w:sz w:val="18"/>
        </w:rPr>
        <w:t>┌──────────────────────────────────────────────────────────────┐</w:t>
        <w:br/>
        <w:t>│ HEADER: [Leaf &amp; Cow logo] AGRIDOCTOR AI — CROP &amp; LIVESTOCK    │</w:t>
        <w:br/>
        <w:t>│ Mohammad Sarif Khan (2238572) · AI-4-Creativity Project       │</w:t>
        <w:br/>
        <w:t>├───────────────────────────────┬──────────────────────────────┤</w:t>
        <w:br/>
        <w:t>│ 1. THE CHALLENGE &amp; SOLUTION   │ 2. HOW IT WORKS               │</w:t>
        <w:br/>
        <w:t>│ 20–40% of crops lost yearly    │ [Mermaid: PWA → FastAPI →     │</w:t>
        <w:br/>
        <w:t>│ (FAO). AgriDoctor gives a      │  Whisper + Qwen3.6 VLM →      │</w:t>
        <w:br/>
        <w:t>│ real, honest first opinion     │  Safety layer → result]      │</w:t>
        <w:br/>
        <w:t>│ from a photo (+ optional voice)│ • 8 crops + 4 livestock       │</w:t>
        <w:br/>
        <w:t>│ across 12 subjects.            │ • Rejects out-of-scope images │</w:t>
        <w:br/>
        <w:t>├───────────────────────────────┴──────────────────────────────┤</w:t>
        <w:br/>
        <w:t>│ 3. HOW TO TEST                                                │</w:t>
        <w:br/>
        <w:t>│  [1] ./start.sh → localhost:3000   [2] Pick/skip subject,     │</w:t>
        <w:br/>
        <w:t>│  upload a leaf/animal photo, add notes   [3] Read diagnosis,  │</w:t>
        <w:br/>
        <w:t>│  severity bar &amp; advice (or the honest rejection)              │</w:t>
        <w:br/>
        <w:t>├──────────────────────────────────────────────────────────────┤</w:t>
        <w:br/>
        <w:t>│ 4. FOOTER: GitHub · YouTube demo · QR   🌱 Healthy Crops 🌱   │</w:t>
        <w:br/>
        <w:t>└──────────────────────────────────────────────────────────────┘</w:t>
      </w:r>
    </w:p>
    <w:p>
      <w:pPr>
        <w:keepNext/>
        <w:spacing w:before="240" w:after="80"/>
      </w:pPr>
      <w:r>
        <w:rPr>
          <w:rFonts w:ascii="Arial" w:hAnsi="Arial"/>
          <w:b/>
          <w:color w:val="2E7559"/>
          <w:sz w:val="25"/>
        </w:rPr>
        <w:t>10.3 Primary Copy Blocks</w:t>
      </w:r>
    </w:p>
    <w:p>
      <w:pPr>
        <w:spacing w:after="120" w:line="276" w:lineRule="auto"/>
      </w:pPr>
      <w:r>
        <w:rPr>
          <w:b/>
        </w:rPr>
        <w:t xml:space="preserve">* 01 // The Challenge: </w:t>
      </w:r>
      <w:r>
        <w:t>"Rural farmers face crop and livestock health crises without timely access to experts. AgriDoctor is a full-stack assistant that analyses a photo (and optional spoken symptoms) using a vision–language model wrapped in a safety layer, giving a real first opinion across 8 crops and 4 livestock — and honestly refusing anything out of scope."</w:t>
      </w:r>
    </w:p>
    <w:p>
      <w:pPr>
        <w:spacing w:after="120" w:line="276" w:lineRule="auto"/>
      </w:pPr>
      <w:r>
        <w:rPr>
          <w:b/>
        </w:rPr>
        <w:t xml:space="preserve">* 02 // Core Stack: </w:t>
      </w:r>
      <w:r>
        <w:t>Vision-Language: Qwen3.6-27B; Voice Transcription: Whisper-large-v3-turbo; Constraint: Server-Side Safety Invariant Checker; Backend: FastAPI + SQLite; Client: HTML5/Vanilla JS PWA.</w:t>
      </w:r>
    </w:p>
    <w:p>
      <w:pPr>
        <w:spacing w:after="120" w:line="276" w:lineRule="auto"/>
      </w:pPr>
      <w:r>
        <w:rPr>
          <w:b/>
        </w:rPr>
        <w:t xml:space="preserve">* 03 // Call to Action: </w:t>
      </w:r>
      <w:r>
        <w:t>Contains a live QR code leading directly to the public GitHub repository at https://github.com/Sarifkhan1/AgriDoctor and a video demonstration link.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125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