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f2d0f3d6-d612-4a3b-97d2-1a215cde68d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4801_HHFEHY_EN_M_31012024.docx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f2d0f3d6-d612-4a3b-97d2-1a215cde68d3</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French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edfb099c-a5d5-4edc-ae98-3dbb0f6f7c67</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fre"/>
              <w:jc w:val="left"/>
            </w:pPr>
            <w:r>
              <w:rPr>
                <w:b/>
                <w:i w:val="0"/>
                <w:noProof w:val="0"/>
                <w:u w:val="none"/>
                <w:vertAlign w:val="baseline"/>
              </w:rPr>
              <w:t>Investissements pour l’environnement</w:t>
            </w:r>
            <w:r>
              <w:rPr>
                <w:b/>
                <w:i w:val="0"/>
                <w:noProof w:val="0"/>
                <w:u w:val="none"/>
                <w:vertAlign w:val="superscript"/>
              </w:rPr>
              <w:t>8</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(78%)</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de6b4a72-9319-4b92-bad4-ad52eb14a8a2</w:t>
            </w:r>
          </w:p>
        </w:tc>
        <w:tc>
          <w:tcPr>
            <w:tcW w:w="360" w:type="dxa"/>
            <w:shd w:val="clear" w:color="auto" w:fill="F2F2F2"/>
          </w:tcPr>
          <w:p w:rsidR="00A77B3E">
            <w:pPr>
              <w:pStyle w:val="mqeng"/>
              <w:jc w:val="left"/>
            </w:pPr>
            <w:r>
              <w:rPr>
                <w:noProof/>
              </w:rPr>
              <w:t>Fixed income markets cooled slightly in January following the strong rally at the end of last year, and the European high yield bond market made a small positive return.</w:t>
            </w:r>
          </w:p>
        </w:tc>
        <w:tc>
          <w:tcPr>
            <w:tcW w:w="360" w:type="dxa"/>
            <w:shd w:val="clear" w:color="auto" w:fill="auto"/>
          </w:tcPr>
          <w:p w:rsidR="00A77B3E">
            <w:pPr>
              <w:pStyle w:val="mqfre"/>
              <w:jc w:val="left"/>
            </w:pPr>
            <w:r>
              <w:rPr>
                <w:noProof w:val="0"/>
              </w:rPr>
              <w:t>Les marchés obligataires ont légèrement refroidi en janvier suite à la forte reprise de la fin de l’année dernière, et le marché européen des obligations à haut rendement a réalisé un rendement légèrement positif.</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1e5adc44-d979-438c-a922-81ad53bb7767</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fre"/>
              <w:jc w:val="left"/>
            </w:pPr>
            <w:r>
              <w:rPr>
                <w:noProof w:val="0"/>
              </w:rPr>
              <w:t>Les rendements excédentaires étaient positifs.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1a18262e-859a-4f1a-a0f8-a13087600c93</w:t>
            </w:r>
          </w:p>
        </w:tc>
        <w:tc>
          <w:tcPr>
            <w:tcW w:w="360" w:type="dxa"/>
            <w:shd w:val="clear" w:color="auto" w:fill="F2F2F2"/>
          </w:tcPr>
          <w:p w:rsidR="00A77B3E">
            <w:pPr>
              <w:pStyle w:val="mqeng"/>
              <w:jc w:val="left"/>
            </w:pPr>
            <w:r>
              <w:rPr>
                <w:noProof/>
              </w:rPr>
              <w:t>In Europe, high yield bond spreads tightened as demand for the asset class increased.</w:t>
            </w:r>
          </w:p>
        </w:tc>
        <w:tc>
          <w:tcPr>
            <w:tcW w:w="360" w:type="dxa"/>
            <w:shd w:val="clear" w:color="auto" w:fill="auto"/>
          </w:tcPr>
          <w:p w:rsidR="00A77B3E">
            <w:pPr>
              <w:pStyle w:val="mqfre"/>
              <w:jc w:val="left"/>
            </w:pPr>
            <w:r>
              <w:rPr>
                <w:noProof w:val="0"/>
              </w:rPr>
              <w:t>En Europe, les spreads des obligations à haut rendement se sont resserrés alors que la demande accrue de cette classe d’actifs augmentait.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885e0016-4013-460b-a6f0-a90b30b78c0a</w:t>
            </w:r>
          </w:p>
        </w:tc>
        <w:tc>
          <w:tcPr>
            <w:tcW w:w="360" w:type="dxa"/>
            <w:shd w:val="clear" w:color="auto" w:fill="F2F2F2"/>
          </w:tcPr>
          <w:p w:rsidR="00A77B3E">
            <w:pPr>
              <w:pStyle w:val="mqeng"/>
              <w:jc w:val="left"/>
            </w:pPr>
            <w:r>
              <w:rPr>
                <w:noProof/>
              </w:rPr>
              <w:t>The European Central Bank (ECB) held rates steady when it met during the month.</w:t>
            </w:r>
          </w:p>
        </w:tc>
        <w:tc>
          <w:tcPr>
            <w:tcW w:w="360" w:type="dxa"/>
            <w:shd w:val="clear" w:color="auto" w:fill="auto"/>
          </w:tcPr>
          <w:p w:rsidR="00A77B3E">
            <w:pPr>
              <w:pStyle w:val="mqfre"/>
              <w:jc w:val="left"/>
            </w:pPr>
            <w:r>
              <w:rPr>
                <w:noProof w:val="0"/>
              </w:rPr>
              <w:t>La Banque centrale européenne (BCE) a maintenu les taux stables lors de sa réunion au cours du mois.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cd16dd84-e722-40ed-853d-64cfd392bb4a</w:t>
            </w:r>
          </w:p>
        </w:tc>
        <w:tc>
          <w:tcPr>
            <w:tcW w:w="360" w:type="dxa"/>
            <w:shd w:val="clear" w:color="auto" w:fill="F2F2F2"/>
          </w:tcPr>
          <w:p w:rsidR="00A77B3E">
            <w:pPr>
              <w:pStyle w:val="mqeng"/>
              <w:jc w:val="left"/>
            </w:pPr>
            <w:r>
              <w:rPr>
                <w:noProof/>
              </w:rPr>
              <w:t>However, President Christine Lagarde highlighted easing pricing pressures in her statement, particularly evidence of moderating wage growth, and her comments heightened expectations that policymakers could loosen monetary policy as early as April.</w:t>
            </w:r>
          </w:p>
        </w:tc>
        <w:tc>
          <w:tcPr>
            <w:tcW w:w="360" w:type="dxa"/>
            <w:shd w:val="clear" w:color="auto" w:fill="auto"/>
          </w:tcPr>
          <w:p w:rsidR="00A77B3E">
            <w:pPr>
              <w:pStyle w:val="mqfre"/>
              <w:jc w:val="left"/>
            </w:pPr>
            <w:r>
              <w:rPr>
                <w:noProof w:val="0"/>
              </w:rPr>
              <w:t>Cependant, la présidente Christine Lagarde a souligné l’atténuation des pressions sur les prix dans sa déclaration, en particulier les preuves d’un ralentissement de la croissance des salaires, et ses commentaires ont renforcé les attentes selon lesquelles les décideurs pourraient assouplir la politique monétaire dès avril.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cf577961-6285-4011-91db-ec85a0364ea4</w:t>
            </w:r>
          </w:p>
        </w:tc>
        <w:tc>
          <w:tcPr>
            <w:tcW w:w="360" w:type="dxa"/>
            <w:shd w:val="clear" w:color="auto" w:fill="F2F2F2"/>
          </w:tcPr>
          <w:p w:rsidR="00A77B3E">
            <w:pPr>
              <w:pStyle w:val="mqeng"/>
              <w:jc w:val="left"/>
            </w:pPr>
            <w:r>
              <w:rPr>
                <w:noProof/>
              </w:rPr>
              <w:t>The eurozone economy was weak but managed to avoid a technical recession, with no growth over the fourth quarter, after shrinking by 0.1% over the third quarter.</w:t>
            </w:r>
          </w:p>
        </w:tc>
        <w:tc>
          <w:tcPr>
            <w:tcW w:w="360" w:type="dxa"/>
            <w:shd w:val="clear" w:color="auto" w:fill="auto"/>
          </w:tcPr>
          <w:p w:rsidR="00A77B3E">
            <w:pPr>
              <w:pStyle w:val="mqfre"/>
              <w:jc w:val="left"/>
            </w:pPr>
            <w:r>
              <w:rPr>
                <w:noProof w:val="0"/>
              </w:rPr>
              <w:t>L’économie de la zone euro était faible mais a réussi à éviter une récession technique, sans croissance au cours du quatrième trimestre, après une contraction de 0,1 % au cours du troisième trimestre.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eb77fe26-0396-4c1d-a975-49a9d01fbfd1</w:t>
            </w:r>
          </w:p>
        </w:tc>
        <w:tc>
          <w:tcPr>
            <w:tcW w:w="360" w:type="dxa"/>
            <w:shd w:val="clear" w:color="auto" w:fill="F2F2F2"/>
          </w:tcPr>
          <w:p w:rsidR="00A77B3E">
            <w:pPr>
              <w:pStyle w:val="mqeng"/>
              <w:jc w:val="left"/>
            </w:pPr>
            <w:r>
              <w:rPr>
                <w:noProof/>
              </w:rPr>
              <w:t>Meanwhile, concerns around supply chains flared up once again, with the US and UK-conducted airstrikes on Houthi militants in Yemen following attacks on shipping in the Red Sea.</w:t>
            </w:r>
          </w:p>
        </w:tc>
        <w:tc>
          <w:tcPr>
            <w:tcW w:w="360" w:type="dxa"/>
            <w:shd w:val="clear" w:color="auto" w:fill="auto"/>
          </w:tcPr>
          <w:p w:rsidR="00A77B3E">
            <w:pPr>
              <w:pStyle w:val="mqfre"/>
              <w:jc w:val="left"/>
            </w:pPr>
            <w:r>
              <w:rPr>
                <w:noProof w:val="0"/>
              </w:rPr>
              <w:t>Pendant ce temps, les inquiétudes concernant les chaînes d’approvisionnement ont de nouveau refait surface, avec les frappes aériennes menées par les États-Unis et le Royaume-Uni contre des militants houthis au Yémen, suite à des attaques sur le transport maritime en mer Rouge.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adebefc7-41af-436b-937c-cf8615a5436c</w:t>
            </w:r>
          </w:p>
        </w:tc>
        <w:tc>
          <w:tcPr>
            <w:tcW w:w="360" w:type="dxa"/>
            <w:shd w:val="clear" w:color="auto" w:fill="F2F2F2"/>
          </w:tcPr>
          <w:p w:rsidR="00A77B3E">
            <w:pPr>
              <w:pStyle w:val="mqeng"/>
              <w:jc w:val="left"/>
            </w:pPr>
            <w:r>
              <w:rPr>
                <w:noProof/>
              </w:rPr>
              <w:t>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fre"/>
              <w:jc w:val="left"/>
            </w:pPr>
            <w:r>
              <w:rPr>
                <w:noProof w:val="0"/>
              </w:rPr>
              <w:t>Les spreads des obligations américaines à haut rendement se sont élargis au cours du mois en réponse à la bonne performance du marché au quatrième trimestre, et des données macroéconomiques plus solides que prévu ont douché l’espoir des investisseurs pour des baisses de taux anticipées.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aad39266-c7f9-4a51-9222-772bccdbc8bf</w:t>
            </w:r>
          </w:p>
        </w:tc>
        <w:tc>
          <w:tcPr>
            <w:tcW w:w="360" w:type="dxa"/>
            <w:shd w:val="clear" w:color="auto" w:fill="F2F2F2"/>
          </w:tcPr>
          <w:p w:rsidR="00A77B3E">
            <w:pPr>
              <w:pStyle w:val="mqeng"/>
              <w:jc w:val="left"/>
            </w:pPr>
            <w:r>
              <w:rPr>
                <w:noProof/>
              </w:rPr>
              <w:t>Fourth quarter GDP in the US grew by a much stronger-than-expected 3.3% (annualised), albeit down from 4.9% in the third quarter, and the jobs market remained buoyant.</w:t>
            </w:r>
          </w:p>
        </w:tc>
        <w:tc>
          <w:tcPr>
            <w:tcW w:w="360" w:type="dxa"/>
            <w:shd w:val="clear" w:color="auto" w:fill="auto"/>
          </w:tcPr>
          <w:p w:rsidR="00A77B3E">
            <w:pPr>
              <w:pStyle w:val="mqfre"/>
              <w:jc w:val="left"/>
            </w:pPr>
            <w:r>
              <w:rPr>
                <w:noProof w:val="0"/>
              </w:rPr>
              <w:t>Au quatrième trimestre, le PIB américain a augmenté de 3,3 % (annualisé), bien que cela soit en baisse par rapport à 4,9 % au troisième trimestre, et le marché de l’emploi est resté dynamique.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fbac544d-c3d3-4641-a275-1b076bb46354</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fre"/>
              <w:jc w:val="left"/>
            </w:pPr>
            <w:r>
              <w:rPr>
                <w:noProof w:val="0"/>
              </w:rPr>
              <w:t>La vigueur de l’économie a continué à alimenter l’idée d’un atterrissage en douceur de l’année dernière, mais elle a également soulevé des doutes au cours du mois sur le moment où la Réserve fédérale américaine (Fed) commencerait à assouplir la politique monétaire.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3a1a72f1-5d44-47c9-9470-7b61fefc6e96</w:t>
            </w:r>
          </w:p>
        </w:tc>
        <w:tc>
          <w:tcPr>
            <w:tcW w:w="360" w:type="dxa"/>
            <w:shd w:val="clear" w:color="auto" w:fill="F2F2F2"/>
          </w:tcPr>
          <w:p w:rsidR="00A77B3E">
            <w:pPr>
              <w:pStyle w:val="mqeng"/>
              <w:jc w:val="left"/>
            </w:pPr>
            <w:r>
              <w:rPr>
                <w:noProof/>
              </w:rPr>
              <w:t>Indeed, the Fed held rates steady at its meeting at month end, and pushed back on imminent interest rate cuts as inflation remains too high.</w:t>
            </w:r>
          </w:p>
        </w:tc>
        <w:tc>
          <w:tcPr>
            <w:tcW w:w="360" w:type="dxa"/>
            <w:shd w:val="clear" w:color="auto" w:fill="auto"/>
          </w:tcPr>
          <w:p w:rsidR="00A77B3E">
            <w:pPr>
              <w:pStyle w:val="mqfre"/>
              <w:jc w:val="left"/>
            </w:pPr>
            <w:r>
              <w:rPr>
                <w:noProof w:val="0"/>
              </w:rPr>
              <w:t>En effet, la Fed a maintenu ses taux lors de sa réunion à la fin du mois et a repoussé les baisses des taux d’intérêt imminentes alors que l’inflation reste trop élevée.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5616371b-1e42-4bd6-b408-2d44ba6538ed</w:t>
            </w:r>
          </w:p>
        </w:tc>
        <w:tc>
          <w:tcPr>
            <w:tcW w:w="360" w:type="dxa"/>
            <w:shd w:val="clear" w:color="auto" w:fill="F2F2F2"/>
          </w:tcPr>
          <w:p w:rsidR="00A77B3E">
            <w:pPr>
              <w:pStyle w:val="mqeng"/>
              <w:jc w:val="left"/>
            </w:pPr>
            <w:r>
              <w:rPr>
                <w:noProof/>
              </w:rPr>
              <w:t>In terms of ratings, CCC-rated bonds performed the best, followed by B-rated bonds and then BB-rated bonds.</w:t>
            </w:r>
          </w:p>
        </w:tc>
        <w:tc>
          <w:tcPr>
            <w:tcW w:w="360" w:type="dxa"/>
            <w:shd w:val="clear" w:color="auto" w:fill="auto"/>
          </w:tcPr>
          <w:p w:rsidR="00A77B3E">
            <w:pPr>
              <w:pStyle w:val="mqfre"/>
              <w:jc w:val="left"/>
            </w:pPr>
            <w:r>
              <w:rPr>
                <w:noProof w:val="0"/>
              </w:rPr>
              <w:t>En termes de notations, les obligations notées CCC ont enregistré les meilleures performances, suivies des obligations notées B puis des obligations notées BB.</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374a5bf9-3e6c-4a2a-881d-fa6182b54841</w:t>
            </w:r>
          </w:p>
        </w:tc>
        <w:tc>
          <w:tcPr>
            <w:tcW w:w="360" w:type="dxa"/>
            <w:shd w:val="clear" w:color="auto" w:fill="F2F2F2"/>
          </w:tcPr>
          <w:p w:rsidR="00A77B3E">
            <w:pPr>
              <w:pStyle w:val="mqeng"/>
              <w:jc w:val="left"/>
            </w:pPr>
            <w:r>
              <w:rPr>
                <w:noProof/>
              </w:rPr>
              <w:t>In terms of sectors, financials outperformed non-financials, mostly driven by real estate, a sector that recovered some of the weakness from previous month.</w:t>
            </w:r>
          </w:p>
        </w:tc>
        <w:tc>
          <w:tcPr>
            <w:tcW w:w="360" w:type="dxa"/>
            <w:shd w:val="clear" w:color="auto" w:fill="auto"/>
          </w:tcPr>
          <w:p w:rsidR="00A77B3E">
            <w:pPr>
              <w:pStyle w:val="mqfre"/>
              <w:jc w:val="left"/>
            </w:pPr>
            <w:r>
              <w:rPr>
                <w:noProof w:val="0"/>
              </w:rPr>
              <w:t>En termes de secteurs, les valeurs financières ont surperformé les valeurs non financières, principalement tirées par l’immobilier, un secteur qui a récupéré une partie de la faiblesse du mois précédent.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edecd0fc-b674-42b6-a0af-0951c4c42bf6</w:t>
            </w:r>
          </w:p>
        </w:tc>
        <w:tc>
          <w:tcPr>
            <w:tcW w:w="360" w:type="dxa"/>
            <w:shd w:val="clear" w:color="auto" w:fill="F2F2F2"/>
          </w:tcPr>
          <w:p w:rsidR="00A77B3E">
            <w:pPr>
              <w:pStyle w:val="mqeng"/>
              <w:jc w:val="left"/>
            </w:pPr>
            <w:r>
              <w:rPr>
                <w:noProof/>
              </w:rPr>
              <w:t>In non-financials, spreads in REITs tightened the most while supermarkets, chemicals and gaming also performed well.</w:t>
            </w:r>
          </w:p>
        </w:tc>
        <w:tc>
          <w:tcPr>
            <w:tcW w:w="360" w:type="dxa"/>
            <w:shd w:val="clear" w:color="auto" w:fill="auto"/>
          </w:tcPr>
          <w:p w:rsidR="00A77B3E">
            <w:pPr>
              <w:pStyle w:val="mqfre"/>
              <w:jc w:val="left"/>
            </w:pPr>
            <w:r>
              <w:rPr>
                <w:noProof w:val="0"/>
              </w:rPr>
              <w:t>Dans le secteur non financier, les écarts des REIT se sont resserrés le plus tandis que les supermarchés, les produits chimiques et les jeux ont également bien performé.</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e1ff3c82-5659-4dd7-8412-80a9c9a9e0a2</w:t>
            </w:r>
          </w:p>
        </w:tc>
        <w:tc>
          <w:tcPr>
            <w:tcW w:w="360" w:type="dxa"/>
            <w:shd w:val="clear" w:color="auto" w:fill="F2F2F2"/>
          </w:tcPr>
          <w:p w:rsidR="00A77B3E">
            <w:pPr>
              <w:pStyle w:val="mqeng"/>
              <w:jc w:val="left"/>
            </w:pPr>
            <w:r>
              <w:rPr>
                <w:noProof/>
              </w:rPr>
              <w:t>Automotive and technology sectors underperformed during the month.</w:t>
            </w:r>
          </w:p>
        </w:tc>
        <w:tc>
          <w:tcPr>
            <w:tcW w:w="360" w:type="dxa"/>
            <w:shd w:val="clear" w:color="auto" w:fill="auto"/>
          </w:tcPr>
          <w:p w:rsidR="00A77B3E">
            <w:pPr>
              <w:pStyle w:val="mqfre"/>
              <w:jc w:val="left"/>
            </w:pPr>
            <w:r>
              <w:rPr>
                <w:noProof w:val="0"/>
              </w:rPr>
              <w:t>Les secteurs de l’automobile et de la technologie ont sous-performé du mois.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14f5da60-8872-408c-89ff-2c50f801e40d</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fre"/>
              <w:jc w:val="left"/>
            </w:pPr>
            <w:r>
              <w:rPr>
                <w:b/>
                <w:i w:val="0"/>
                <w:noProof w:val="0"/>
                <w:u w:val="none"/>
                <w:vertAlign w:val="baseline"/>
              </w:rPr>
              <w:t>Revue du portefeuille</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67e925ad-724b-401b-89da-6874e286cb76</w:t>
            </w:r>
          </w:p>
        </w:tc>
        <w:tc>
          <w:tcPr>
            <w:tcW w:w="360" w:type="dxa"/>
            <w:shd w:val="clear" w:color="auto" w:fill="F2F2F2"/>
          </w:tcPr>
          <w:p w:rsidR="00A77B3E">
            <w:pPr>
              <w:pStyle w:val="mqeng"/>
              <w:jc w:val="left"/>
            </w:pPr>
            <w:r>
              <w:rPr>
                <w:noProof/>
              </w:rPr>
              <w:t>Security selection and sector allocation were the key drivers of this outperformance.</w:t>
            </w:r>
          </w:p>
        </w:tc>
        <w:tc>
          <w:tcPr>
            <w:tcW w:w="360" w:type="dxa"/>
            <w:shd w:val="clear" w:color="auto" w:fill="auto"/>
          </w:tcPr>
          <w:p w:rsidR="00A77B3E">
            <w:pPr>
              <w:pStyle w:val="mqfre"/>
              <w:jc w:val="left"/>
            </w:pPr>
            <w:r>
              <w:rPr>
                <w:noProof w:val="0"/>
              </w:rPr>
              <w:t>La sélection des titres et l’allocation sectorielle ont été les principaux moteurs de cette surperformance.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6e6e363c-f1b7-44c8-8a78-ac0ff39f22dc</w:t>
            </w:r>
          </w:p>
        </w:tc>
        <w:tc>
          <w:tcPr>
            <w:tcW w:w="360" w:type="dxa"/>
            <w:shd w:val="clear" w:color="auto" w:fill="F2F2F2"/>
          </w:tcPr>
          <w:p w:rsidR="00A77B3E">
            <w:pPr>
              <w:pStyle w:val="mqeng"/>
              <w:jc w:val="left"/>
            </w:pPr>
            <w:r>
              <w:rPr>
                <w:noProof/>
              </w:rPr>
              <w:t>At the sector level, an underweight position in technology and electronics contributed strongly to performance, while an overweight position in health care was a mild detractor.</w:t>
            </w:r>
          </w:p>
        </w:tc>
        <w:tc>
          <w:tcPr>
            <w:tcW w:w="360" w:type="dxa"/>
            <w:shd w:val="clear" w:color="auto" w:fill="auto"/>
          </w:tcPr>
          <w:p w:rsidR="00A77B3E">
            <w:pPr>
              <w:pStyle w:val="mqfre"/>
              <w:jc w:val="left"/>
            </w:pPr>
            <w:r>
              <w:rPr>
                <w:noProof w:val="0"/>
              </w:rPr>
              <w:t>Au niveau sectoriel, une sous-pondération dans la technologie et de l’électronique a fortement contribué à la performance, tandis qu’une surpondération dans les soins de santé a été un léger facteur de détracteur.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ab342971-c427-4f1b-92ff-a42133e575a7</w:t>
            </w:r>
          </w:p>
        </w:tc>
        <w:tc>
          <w:tcPr>
            <w:tcW w:w="360" w:type="dxa"/>
            <w:shd w:val="clear" w:color="auto" w:fill="F2F2F2"/>
          </w:tcPr>
          <w:p w:rsidR="00A77B3E">
            <w:pPr>
              <w:pStyle w:val="mqeng"/>
              <w:jc w:val="left"/>
            </w:pPr>
            <w:r>
              <w:rPr>
                <w:noProof/>
              </w:rPr>
              <w:t>The underweight position in real estate also detracted, as the sector was one of the best performing in January, but the fund benefited from good security selection here.</w:t>
            </w:r>
          </w:p>
        </w:tc>
        <w:tc>
          <w:tcPr>
            <w:tcW w:w="360" w:type="dxa"/>
            <w:shd w:val="clear" w:color="auto" w:fill="auto"/>
          </w:tcPr>
          <w:p w:rsidR="00A77B3E">
            <w:pPr>
              <w:pStyle w:val="mqfre"/>
              <w:jc w:val="left"/>
            </w:pPr>
            <w:r>
              <w:rPr>
                <w:noProof w:val="0"/>
              </w:rPr>
              <w:t>La sous-pondération dans l’immobilier a également nui, car le secteur était l’un des meilleurs performants en janvier, mais le fonds a bénéficié d’une bonne sélection des titres ici.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e7b08d91-4b0f-493d-be1e-58a33827a864</w:t>
            </w:r>
          </w:p>
        </w:tc>
        <w:tc>
          <w:tcPr>
            <w:tcW w:w="360" w:type="dxa"/>
            <w:shd w:val="clear" w:color="auto" w:fill="F2F2F2"/>
          </w:tcPr>
          <w:p w:rsidR="00A77B3E">
            <w:pPr>
              <w:pStyle w:val="mqeng"/>
              <w:jc w:val="left"/>
            </w:pPr>
            <w:r>
              <w:rPr>
                <w:noProof/>
              </w:rPr>
              <w:t>Security selection in utilities and retail also added value, while security selection in capital goods and financial services hurt returns.</w:t>
            </w:r>
          </w:p>
        </w:tc>
        <w:tc>
          <w:tcPr>
            <w:tcW w:w="360" w:type="dxa"/>
            <w:shd w:val="clear" w:color="auto" w:fill="auto"/>
          </w:tcPr>
          <w:p w:rsidR="00A77B3E">
            <w:pPr>
              <w:pStyle w:val="mqfre"/>
              <w:jc w:val="left"/>
            </w:pPr>
            <w:r>
              <w:rPr>
                <w:noProof w:val="0"/>
              </w:rPr>
              <w:t>La sélection de titres dans les services aux collectivités et la vente au détail a également ajouté de la valeur, tandis que la sélection de titres dans les biens d’équipement et les services financiers a nui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748368d2-9798-4b77-ae6a-e6c968c8969c</w:t>
            </w:r>
          </w:p>
        </w:tc>
        <w:tc>
          <w:tcPr>
            <w:tcW w:w="360" w:type="dxa"/>
            <w:shd w:val="clear" w:color="auto" w:fill="F2F2F2"/>
          </w:tcPr>
          <w:p w:rsidR="00A77B3E">
            <w:pPr>
              <w:pStyle w:val="mqeng"/>
              <w:jc w:val="left"/>
            </w:pPr>
            <w:r>
              <w:rPr>
                <w:noProof/>
              </w:rPr>
              <w:t>At the issuer level, the fund's overweight positions in European REITs CPI Property and Aroundtown contributed strongly to returns.</w:t>
            </w:r>
          </w:p>
        </w:tc>
        <w:tc>
          <w:tcPr>
            <w:tcW w:w="360" w:type="dxa"/>
            <w:shd w:val="clear" w:color="auto" w:fill="auto"/>
          </w:tcPr>
          <w:p w:rsidR="00A77B3E">
            <w:pPr>
              <w:pStyle w:val="mqfre"/>
              <w:jc w:val="left"/>
            </w:pPr>
            <w:r>
              <w:rPr>
                <w:noProof w:val="0"/>
              </w:rPr>
              <w:t>Au niveau des émetteurs, les positions surpondérées du fonds dans les REIT européens CPI Property et Aroundtown ont fortement contribué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6e60593b-e16d-41f5-8a56-ebf229643aa8</w:t>
            </w:r>
          </w:p>
        </w:tc>
        <w:tc>
          <w:tcPr>
            <w:tcW w:w="360" w:type="dxa"/>
            <w:shd w:val="clear" w:color="auto" w:fill="F2F2F2"/>
          </w:tcPr>
          <w:p w:rsidR="00A77B3E">
            <w:pPr>
              <w:pStyle w:val="mqeng"/>
              <w:jc w:val="left"/>
            </w:pPr>
            <w:r>
              <w:rPr>
                <w:noProof/>
              </w:rPr>
              <w:t>Both issuers underperformed in 2023, as the high interest rate environment put pressure on their business models and in the case of CPI following December's news that Muddy Waters (the short-selling hedge fund) had bet against it.</w:t>
            </w:r>
          </w:p>
        </w:tc>
        <w:tc>
          <w:tcPr>
            <w:tcW w:w="360" w:type="dxa"/>
            <w:shd w:val="clear" w:color="auto" w:fill="auto"/>
          </w:tcPr>
          <w:p w:rsidR="00A77B3E">
            <w:pPr>
              <w:pStyle w:val="mqfre"/>
              <w:jc w:val="left"/>
            </w:pPr>
            <w:r>
              <w:rPr>
                <w:noProof w:val="0"/>
              </w:rPr>
              <w:t>Les deux émetteurs ont sous-performé en 2023, car l’environnement élevé des taux d’intérêt a exercé une pression sur leurs modèles économiques et dans le cas de l’IPC suite aux nouvelles de décembre selon lesquelles Muddy Waters (le fonds alternatif à la vente à découvert) avait parié contre lui.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59d89ff4-66d8-43ea-9a34-b58a3f487dd9</w:t>
            </w:r>
          </w:p>
        </w:tc>
        <w:tc>
          <w:tcPr>
            <w:tcW w:w="360" w:type="dxa"/>
            <w:shd w:val="clear" w:color="auto" w:fill="F2F2F2"/>
          </w:tcPr>
          <w:p w:rsidR="00A77B3E">
            <w:pPr>
              <w:pStyle w:val="mqeng"/>
              <w:jc w:val="left"/>
            </w:pPr>
            <w:r>
              <w:rPr>
                <w:noProof/>
              </w:rPr>
              <w:t>However, their bonds tightened significantly in January, alongside the broader REIT sector, as investor expectations for a cut in interest rates deepened.</w:t>
            </w:r>
          </w:p>
        </w:tc>
        <w:tc>
          <w:tcPr>
            <w:tcW w:w="360" w:type="dxa"/>
            <w:shd w:val="clear" w:color="auto" w:fill="auto"/>
          </w:tcPr>
          <w:p w:rsidR="00A77B3E">
            <w:pPr>
              <w:pStyle w:val="mqfre"/>
              <w:jc w:val="left"/>
            </w:pPr>
            <w:r>
              <w:rPr>
                <w:noProof w:val="0"/>
              </w:rPr>
              <w:t>Cependant, leurs obligations se sont considérablement resserrées en janvier, parallèlement au secteur des REIT, alors que les attentes des investisseurs concernant une réduction des taux d’intérêt se sont intensifiées.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20702694-c9aa-45d1-8f6b-098e36111335</w:t>
            </w:r>
          </w:p>
        </w:tc>
        <w:tc>
          <w:tcPr>
            <w:tcW w:w="360" w:type="dxa"/>
            <w:shd w:val="clear" w:color="auto" w:fill="F2F2F2"/>
          </w:tcPr>
          <w:p w:rsidR="00A77B3E">
            <w:pPr>
              <w:pStyle w:val="mqeng"/>
              <w:jc w:val="left"/>
            </w:pPr>
            <w:r>
              <w:rPr>
                <w:noProof/>
              </w:rPr>
              <w:t>Not holding France-based information technology company Atos contributed positively to relative returns, as spreads widened over the month.</w:t>
            </w:r>
          </w:p>
        </w:tc>
        <w:tc>
          <w:tcPr>
            <w:tcW w:w="360" w:type="dxa"/>
            <w:shd w:val="clear" w:color="auto" w:fill="auto"/>
          </w:tcPr>
          <w:p w:rsidR="00A77B3E">
            <w:pPr>
              <w:pStyle w:val="mqfre"/>
              <w:jc w:val="left"/>
            </w:pPr>
            <w:r>
              <w:rPr>
                <w:noProof w:val="0"/>
              </w:rPr>
              <w:t>Ne pas détenir la société France de technologies de l’information Atos a contribué positivement aux rendements relatifs, alors que les spreads se sont élargis au cours du mois.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088c2a4b-48c4-4f3b-8e8a-6b9e5d2cd1ab</w:t>
            </w:r>
          </w:p>
        </w:tc>
        <w:tc>
          <w:tcPr>
            <w:tcW w:w="360" w:type="dxa"/>
            <w:shd w:val="clear" w:color="auto" w:fill="F2F2F2"/>
          </w:tcPr>
          <w:p w:rsidR="00A77B3E">
            <w:pPr>
              <w:pStyle w:val="mqeng"/>
              <w:jc w:val="left"/>
            </w:pPr>
            <w:r>
              <w:rPr>
                <w:noProof/>
              </w:rPr>
              <w:t>The company's bonds have been volatile recently, with investors questioning its ability to refinance its debt.</w:t>
            </w:r>
          </w:p>
        </w:tc>
        <w:tc>
          <w:tcPr>
            <w:tcW w:w="360" w:type="dxa"/>
            <w:shd w:val="clear" w:color="auto" w:fill="auto"/>
          </w:tcPr>
          <w:p w:rsidR="00A77B3E">
            <w:pPr>
              <w:pStyle w:val="mqfre"/>
              <w:jc w:val="left"/>
            </w:pPr>
            <w:r>
              <w:rPr>
                <w:noProof w:val="0"/>
              </w:rPr>
              <w:t>Les obligations de l’entreprise ont été volatiles récemment, les investisseurs remettant en question sa capacité à refinancer sa dette.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d4e2290c-d996-434a-ae8a-d125eb5a4d4f</w:t>
            </w:r>
          </w:p>
        </w:tc>
        <w:tc>
          <w:tcPr>
            <w:tcW w:w="360" w:type="dxa"/>
            <w:shd w:val="clear" w:color="auto" w:fill="F2F2F2"/>
          </w:tcPr>
          <w:p w:rsidR="00A77B3E">
            <w:pPr>
              <w:pStyle w:val="mqeng"/>
              <w:jc w:val="left"/>
            </w:pPr>
            <w:r>
              <w:rPr>
                <w:noProof/>
              </w:rPr>
              <w:t>An overweight position in automotive services company RAC also contributed to performance, despite the sector widening in January.</w:t>
            </w:r>
          </w:p>
        </w:tc>
        <w:tc>
          <w:tcPr>
            <w:tcW w:w="360" w:type="dxa"/>
            <w:shd w:val="clear" w:color="auto" w:fill="auto"/>
          </w:tcPr>
          <w:p w:rsidR="00A77B3E">
            <w:pPr>
              <w:pStyle w:val="mqfre"/>
              <w:jc w:val="left"/>
            </w:pPr>
            <w:r>
              <w:rPr>
                <w:noProof w:val="0"/>
              </w:rPr>
              <w:t>Une surpondération dans la société de services automobiles RAC a également contribué à la performance, malgré l’élargissement du secteur en janvier.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f5173f70-f9ad-4e29-b348-93b280cc32e2</w:t>
            </w:r>
          </w:p>
        </w:tc>
        <w:tc>
          <w:tcPr>
            <w:tcW w:w="360" w:type="dxa"/>
            <w:shd w:val="clear" w:color="auto" w:fill="F2F2F2"/>
          </w:tcPr>
          <w:p w:rsidR="00A77B3E">
            <w:pPr>
              <w:pStyle w:val="mqeng"/>
              <w:jc w:val="left"/>
            </w:pPr>
            <w:r>
              <w:rPr>
                <w:noProof/>
              </w:rPr>
              <w:t>Conversely, not holding some European real estate names that rallied during the month detracted from returns, including Heimstaden Bostad and Heimstaden.</w:t>
            </w:r>
          </w:p>
        </w:tc>
        <w:tc>
          <w:tcPr>
            <w:tcW w:w="360" w:type="dxa"/>
            <w:shd w:val="clear" w:color="auto" w:fill="auto"/>
          </w:tcPr>
          <w:p w:rsidR="00A77B3E">
            <w:pPr>
              <w:pStyle w:val="mqfre"/>
              <w:jc w:val="left"/>
            </w:pPr>
            <w:r>
              <w:rPr>
                <w:noProof w:val="0"/>
              </w:rPr>
              <w:t>Inversement, ne pas détenir certains noms de sociétés immobilières européennes qui ont augmenté au cours du mois a nui aux rendements, y compris Heimstaden Bostad et Heimstaden.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c87f3110-5d47-4109-b910-90588fa563f7</w:t>
            </w:r>
          </w:p>
        </w:tc>
        <w:tc>
          <w:tcPr>
            <w:tcW w:w="360" w:type="dxa"/>
            <w:shd w:val="clear" w:color="auto" w:fill="F2F2F2"/>
          </w:tcPr>
          <w:p w:rsidR="00A77B3E">
            <w:pPr>
              <w:pStyle w:val="mqeng"/>
              <w:jc w:val="left"/>
            </w:pPr>
            <w:r>
              <w:rPr>
                <w:noProof/>
              </w:rPr>
              <w:t>Glass packaging company Ardagh Metal Packaging, Spanish pharmaceutical Grifols and global health care company Organon also hurt returns.</w:t>
            </w:r>
          </w:p>
        </w:tc>
        <w:tc>
          <w:tcPr>
            <w:tcW w:w="360" w:type="dxa"/>
            <w:shd w:val="clear" w:color="auto" w:fill="auto"/>
          </w:tcPr>
          <w:p w:rsidR="00A77B3E">
            <w:pPr>
              <w:pStyle w:val="mqfre"/>
              <w:jc w:val="left"/>
            </w:pPr>
            <w:r>
              <w:rPr>
                <w:noProof w:val="0"/>
              </w:rPr>
              <w:t>La société de verre Ardagh Metal Packaging, la pharmacie espagnole Grifols et la société mondiale de soins de santé Organon ont également nui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9e38b92a-ca7a-419c-b276-99544e7ca312</w:t>
            </w:r>
          </w:p>
        </w:tc>
        <w:tc>
          <w:tcPr>
            <w:tcW w:w="360" w:type="dxa"/>
            <w:shd w:val="clear" w:color="auto" w:fill="F2F2F2"/>
          </w:tcPr>
          <w:p w:rsidR="00A77B3E">
            <w:pPr>
              <w:pStyle w:val="mqeng"/>
              <w:jc w:val="left"/>
            </w:pPr>
            <w:r>
              <w:rPr>
                <w:noProof/>
              </w:rPr>
              <w:t>In terms of positioning, we reduced the fund's overweight position in telecommunications by taking profits on some top performing issuers, and added exposure in the REIT space, which we think should benefit as central banks begin to loosen monetary policy.</w:t>
            </w:r>
          </w:p>
        </w:tc>
        <w:tc>
          <w:tcPr>
            <w:tcW w:w="360" w:type="dxa"/>
            <w:shd w:val="clear" w:color="auto" w:fill="auto"/>
          </w:tcPr>
          <w:p w:rsidR="00A77B3E">
            <w:pPr>
              <w:pStyle w:val="mqfre"/>
              <w:jc w:val="left"/>
            </w:pPr>
            <w:r>
              <w:rPr>
                <w:noProof w:val="0"/>
              </w:rPr>
              <w:t>En termes de positionnement, nous avons réduit la surpondération du fonds dans les télécommunications en prenant des bénéfices sur certains émetteurs les plus performants, et avons ajouté de l’exposition dans l’univers des REIT, ce qui, selon nous, devrait bénéficier à mesure que les banques centrales commencent à assouplir la politique monétaire.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4e722efd-d80d-42a3-b3cf-f1652f571ee3</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fre"/>
              <w:jc w:val="left"/>
            </w:pPr>
            <w:r>
              <w:rPr>
                <w:b/>
                <w:i w:val="0"/>
                <w:noProof w:val="0"/>
                <w:u w:val="none"/>
                <w:vertAlign w:val="baseline"/>
              </w:rPr>
              <w:t>Contributeurs/détractors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8d4afe19-d9d3-45e9-9f56-338f89676ac0</w:t>
            </w:r>
          </w:p>
        </w:tc>
        <w:tc>
          <w:tcPr>
            <w:tcW w:w="360" w:type="dxa"/>
            <w:shd w:val="clear" w:color="auto" w:fill="F2F2F2"/>
          </w:tcPr>
          <w:p w:rsidR="00A77B3E">
            <w:pPr>
              <w:pStyle w:val="mqeng"/>
              <w:jc w:val="left"/>
            </w:pPr>
            <w:r>
              <w:rPr>
                <w:noProof/>
              </w:rPr>
              <w:t>Security selection and sector allocation were the key drivers of the fund's outperformance.</w:t>
            </w:r>
          </w:p>
        </w:tc>
        <w:tc>
          <w:tcPr>
            <w:tcW w:w="360" w:type="dxa"/>
            <w:shd w:val="clear" w:color="auto" w:fill="auto"/>
          </w:tcPr>
          <w:p w:rsidR="00A77B3E">
            <w:pPr>
              <w:pStyle w:val="mqfre"/>
              <w:jc w:val="left"/>
            </w:pPr>
            <w:r>
              <w:rPr>
                <w:noProof w:val="0"/>
              </w:rPr>
              <w:t>La sélection des titres et l’allocation sectorielle ont été les principaux moteurs de la surperformance du fonds.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5a73af3f-3f45-4488-9cb1-416c53dd5657</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fre"/>
              <w:jc w:val="left"/>
            </w:pPr>
            <w:r>
              <w:rPr>
                <w:b/>
                <w:i w:val="0"/>
                <w:noProof w:val="0"/>
                <w:u w:val="none"/>
                <w:vertAlign w:val="baseline"/>
              </w:rPr>
              <w:t>Perspectives</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e7382b89-7e8f-4558-bd42-ec65089504e9</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fre"/>
              <w:jc w:val="left"/>
            </w:pPr>
            <w:r>
              <w:rPr>
                <w:noProof w:val="0"/>
              </w:rPr>
              <w:t>Étant donné les perspectives binaires, nous restons prudents quant à l’augmentation du risque et restons concentrés sur la sélection de sociétés avec des fondamentaux solides et ce que nous considérons comme des valorisations intéressantes.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4fd8e06f-b50f-417c-b852-14700b9508c6</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fre"/>
              <w:jc w:val="left"/>
            </w:pPr>
            <w:r>
              <w:rPr>
                <w:b/>
                <w:i w:val="0"/>
                <w:noProof w:val="0"/>
                <w:u w:val="none"/>
                <w:vertAlign w:val="baseline"/>
              </w:rPr>
              <w:t>Perspectives du Gestionnaire</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0300fb36-4824-4bf5-8cea-00ecc8194949</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fre"/>
              <w:jc w:val="left"/>
            </w:pPr>
            <w:r>
              <w:rPr>
                <w:noProof w:val="0"/>
              </w:rPr>
              <w:t>Nous avons maintenu la légère surpondération du fonds au risque de spread de crédit par rapport à l’indice.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0f744c45-9d60-449b-84f8-a51caefdc3f4</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fre"/>
              <w:jc w:val="left"/>
            </w:pPr>
            <w:r>
              <w:rPr>
                <w:noProof w:val="0"/>
              </w:rPr>
              <w:t>Les marchés ont réagi rapidement à la perspective d’un début plus tardif du cycle de baisse des taux de la Fed et bien que cela ne change pas notre perspective pour l’année, cela met en évidence la volatilité des taux que nous pouvons attendre alors que les investisseurs ajustent leurs attentes.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55b85511-438f-4fe4-ae9a-406b80e42c8d</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fre"/>
              <w:jc w:val="left"/>
            </w:pPr>
            <w:r>
              <w:rPr>
                <w:noProof w:val="0"/>
              </w:rPr>
              <w:t>Nous nous attendons à ce que cette volatilité se répercute sur les spreads des obligations à haut rendement et à voir deux scénarios potentiels se dérouler : un marché baissier des spreads à court terme causé par tout ce qui ravive l’inquiétude inflationniste, ou une ré-accélération temporaire de la croissance qui conduit les banques centrales à retarder les baisses de taux.</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ad0bd02d-460b-43f2-beb4-344cc49153df</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fre"/>
              <w:jc w:val="left"/>
            </w:pPr>
            <w:r>
              <w:rPr>
                <w:noProof w:val="0"/>
              </w:rPr>
              <w:t>Un marché de spread stable pourrait se produire s’il devient clair que l’inflation est fermement vaincue.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a104a3f5-cc87-4551-b133-b9adcf549ec4</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fre"/>
              <w:jc w:val="left"/>
            </w:pPr>
            <w:r>
              <w:rPr>
                <w:noProof w:val="0"/>
              </w:rPr>
              <w:t>Les banques centrales se lancent dans des baisses de taux pour empêcher les taux réels de devenir trop restrictifs, ce qui bénéficie aux actifs de spread.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e61e1229-74bc-419c-b26e-43b6697c5fdf</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what we consider to be attractive valuations.</w:t>
            </w:r>
          </w:p>
        </w:tc>
        <w:tc>
          <w:tcPr>
            <w:tcW w:w="360" w:type="dxa"/>
            <w:shd w:val="clear" w:color="auto" w:fill="auto"/>
          </w:tcPr>
          <w:p w:rsidR="00A77B3E">
            <w:pPr>
              <w:pStyle w:val="mqfre"/>
              <w:jc w:val="left"/>
            </w:pPr>
            <w:r>
              <w:rPr>
                <w:noProof w:val="0"/>
              </w:rPr>
              <w:t>Étant donné les perspectives binaires, nous restons prudents quant à l’ajout de risque et restons concentrés sur la sélection d’entreprises avec des fondamentaux solides et ce que nous considérons comme des valorisations attrayantes.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f8e8d995-7800-4b59-ba79-e04ec15805f6</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fre"/>
              <w:jc w:val="left"/>
            </w:pPr>
            <w:r>
              <w:rPr>
                <w:noProof w:val="0"/>
              </w:rPr>
              <w:t>Malgré l’augmentation de l’offre que nous avons constatée en janvier, la demande est restée forte.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f6b6fe53-eadd-4e72-ad62-3b4d29e6ed8a</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fre"/>
              <w:jc w:val="left"/>
            </w:pPr>
            <w:r>
              <w:rPr>
                <w:noProof w:val="0"/>
              </w:rPr>
              <w:t>Cela continue d’être une technique positif pour la classe d’actifs.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3ad1762c-8fff-4141-b531-3c19ec5c7998</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fre"/>
              <w:jc w:val="left"/>
            </w:pPr>
            <w:r>
              <w:rPr>
                <w:noProof w:val="0"/>
              </w:rPr>
              <w:t>Nous restons prudents à l'égard des entreprises dont l'endettement augmente et dont les ratios de couverture des taux d'intérêt diminuent, mais nous sommes confiants à l'égard de celles qui affichent toujours des ratios de couverture raisonnables et des indicateurs de flux de trésorerie satisfaisants.</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(74%)</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7caf2341-ee13-4e20-91be-1797ed9fb257</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fre"/>
              <w:jc w:val="left"/>
            </w:pPr>
            <w:r>
              <w:rPr>
                <w:noProof w:val="0"/>
              </w:rPr>
              <w:t>La détérioration des ratios de crédit est légère.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f75ed9cb-8486-4aad-874b-6b32a79af05d</w:t>
            </w:r>
          </w:p>
        </w:tc>
        <w:tc>
          <w:tcPr>
            <w:tcW w:w="360" w:type="dxa"/>
            <w:shd w:val="clear" w:color="auto" w:fill="F2F2F2"/>
          </w:tcPr>
          <w:p w:rsidR="00A77B3E">
            <w:pPr>
              <w:pStyle w:val="mqeng"/>
              <w:jc w:val="left"/>
            </w:pPr>
            <w:r>
              <w:rPr>
                <w:noProof/>
              </w:rPr>
              <w:t>However, we think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fre"/>
              <w:jc w:val="left"/>
            </w:pPr>
            <w:r>
              <w:rPr>
                <w:noProof w:val="0"/>
              </w:rPr>
              <w:t>Cependant, nous pensons que les taux de défaillance devraient atteindre un pic à des niveaux relativement bas, avec un taux de défaillance légèrement plus élevé aux États-Unis étant donné qu’il dispose d’un marché obligataire à haut rendement de moindre qualité par rapport à l’Europe.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2eef45a7-91d1-4414-aed9-93f334e907c7</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fre"/>
              <w:jc w:val="left"/>
            </w:pPr>
            <w:r>
              <w:rPr>
                <w:noProof w:val="0"/>
              </w:rPr>
              <w:t>Le distress est concentré dans l’immobilier, les télécommunications, les médias et la pharmacie.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ab40f13c-7c62-4e0c-824e-af12b3f9c893</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fre"/>
              <w:jc w:val="left"/>
            </w:pPr>
            <w:r>
              <w:rPr>
                <w:noProof w:val="0"/>
              </w:rPr>
              <w:t>Les habitudes de travail, les charges d’endettement et les coûts de financement plus élevés expliquent les problèmes dans l’immobilier, tandis que le secteur des médias souffre de la faiblesse des opérateurs de câbles et d’un affaiblissement général de la publicité.</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a7228704-7c37-4d06-863d-ef737217c464</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attractively priced, high-quality issues while also managing upside potential and downside risks in the portfolio.</w:t>
            </w:r>
          </w:p>
        </w:tc>
        <w:tc>
          <w:tcPr>
            <w:tcW w:w="360" w:type="dxa"/>
            <w:shd w:val="clear" w:color="auto" w:fill="auto"/>
          </w:tcPr>
          <w:p w:rsidR="00A77B3E">
            <w:pPr>
              <w:pStyle w:val="mqfre"/>
              <w:jc w:val="left"/>
            </w:pPr>
            <w:r>
              <w:rPr>
                <w:noProof w:val="0"/>
              </w:rPr>
              <w:t>Dans cet environnement macroéconomique et de crédit, où la trajectoire est incertaine et les risques extrêmes significatifs, nous continuons à nous appuyer sur l’expertise de notre équipe de recherche sur le crédit pour sélectionner des émissions de qualité à des prix attractifs tout en gérant également le potentiel de hausse et les risques de baisse dans le portefeuille.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5c9ced4a-0146-449f-84cc-daffea1d4003</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fre"/>
              <w:jc w:val="left"/>
            </w:pPr>
            <w:r>
              <w:rPr>
                <w:noProof w:val="0"/>
              </w:rPr>
              <w:t>Nous pensons qu’une approche différenciée de la sélection des titres, combinée à un essor dans l’ajout ou le retrait de risque du portefeuille, sera essentielle pour offrir des rendements ajustés au risque intéressants.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4745d61e-9026-4d32-a09f-a41b3779fdbf</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fre"/>
              <w:jc w:val="left"/>
            </w:pPr>
            <w:r>
              <w:rPr>
                <w:noProof w:val="0"/>
              </w:rPr>
              <w:t>Source :</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abde613a-87f9-4bda-881c-daeae93d2ba6</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fre"/>
              <w:jc w:val="left"/>
            </w:pPr>
            <w:r>
              <w:rPr>
                <w:noProof w:val="0"/>
              </w:rPr>
              <w:t>Janus Henderson Investors, au 31 juin 2024.</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(75%)</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fre">
    <w:name w:val="mq:fre"/>
    <w:basedOn w:val="Normal"/>
    <w:rPr>
      <w:lang w:val="fr-FR" w:eastAsia="fr-FR" w:bidi="fr-FR"/>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ies>
</file>