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3.10.0 -->
  <w:body>
    <w:tbl>
      <w:tblPr>
        <w:tblCaption w:val="TableDocxTableTitle"/>
        <w:tblDescription w:val="13b277d9-9049-4539-9c6e-df940f29a18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70"/>
        <w:gridCol w:w="6032"/>
        <w:gridCol w:w="6032"/>
        <w:gridCol w:w="1217"/>
        <w:gridCol w:w="1663"/>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c>
          <w:tcPr>
            <w:tcW w:w="1800" w:type="dxa"/>
            <w:gridSpan w:val="5"/>
            <w:shd w:val="clear" w:color="auto" w:fill="F2F2F2"/>
          </w:tcPr>
          <w:p w:rsidR="00A77B3E">
            <w:pPr>
              <w:jc w:val="center"/>
              <w:rPr>
                <w:b/>
                <w:i w:val="0"/>
                <w:noProof/>
                <w:u w:val="none"/>
                <w:vertAlign w:val="baseline"/>
              </w:rPr>
            </w:pPr>
            <w:r>
              <w:rPr>
                <w:b/>
                <w:i w:val="0"/>
                <w:noProof/>
                <w:u w:val="none"/>
                <w:vertAlign w:val="baseline"/>
              </w:rPr>
              <w:t>4801_HHFEHY_EN_M_31012024.docx</w:t>
            </w:r>
          </w:p>
          <w:p w:rsidR="00A77B3E">
            <w:pPr>
              <w:jc w:val="center"/>
              <w:rPr>
                <w:b/>
                <w:i w:val="0"/>
                <w:noProof/>
                <w:u w:val="none"/>
                <w:vertAlign w:val="baseline"/>
              </w:rPr>
            </w:pPr>
            <w:r>
              <w:rPr>
                <w:b/>
                <w:i w:val="0"/>
                <w:noProof/>
                <w:u w:val="none"/>
                <w:vertAlign w:val="baseline"/>
              </w:rPr>
              <w:t>Important! Don’t change segment ID or source text.</w:t>
            </w:r>
          </w:p>
          <w:p w:rsidR="00A77B3E">
            <w:pPr>
              <w:jc w:val="center"/>
              <w:rPr>
                <w:b/>
                <w:i w:val="0"/>
                <w:noProof/>
                <w:u w:val="none"/>
                <w:vertAlign w:val="baseline"/>
              </w:rPr>
            </w:pPr>
            <w:r>
              <w:rPr>
                <w:b/>
                <w:i w:val="0"/>
                <w:noProof/>
                <w:u w:val="none"/>
                <w:vertAlign w:val="baseline"/>
              </w:rPr>
              <w:t>V11.6.10 13b277d9-9049-4539-9c6e-df940f29a182</w:t>
            </w:r>
          </w:p>
        </w:tc>
      </w:tr>
      <w:tr>
        <w:tblPrEx>
          <w:tblW w:w="5000" w:type="pct"/>
          <w:tblCellMar>
            <w:left w:w="108" w:type="dxa"/>
            <w:right w:w="108" w:type="dxa"/>
          </w:tblCellMar>
        </w:tblPrEx>
        <w:tc>
          <w:tcPr>
            <w:tcW w:w="660" w:type="dxa"/>
            <w:shd w:val="clear" w:color="auto" w:fill="F2F2F2"/>
          </w:tcPr>
          <w:p w:rsidR="00A77B3E">
            <w:pPr>
              <w:jc w:val="left"/>
              <w:rPr>
                <w:b/>
                <w:i w:val="0"/>
                <w:noProof/>
                <w:u w:val="none"/>
                <w:vertAlign w:val="baseline"/>
              </w:rPr>
            </w:pPr>
            <w:r>
              <w:rPr>
                <w:b/>
                <w:i w:val="0"/>
                <w:noProof/>
                <w:u w:val="none"/>
                <w:vertAlign w:val="baseline"/>
              </w:rPr>
              <w:t>ID</w:t>
            </w:r>
          </w:p>
        </w:tc>
        <w:tc>
          <w:tcPr>
            <w:tcW w:w="5949" w:type="dxa"/>
            <w:shd w:val="clear" w:color="auto" w:fill="F2F2F2"/>
          </w:tcPr>
          <w:p w:rsidR="00A77B3E">
            <w:pPr>
              <w:jc w:val="left"/>
              <w:rPr>
                <w:b/>
                <w:i w:val="0"/>
                <w:noProof/>
                <w:u w:val="none"/>
                <w:vertAlign w:val="baseline"/>
              </w:rPr>
            </w:pPr>
            <w:r>
              <w:rPr>
                <w:b/>
                <w:i w:val="0"/>
                <w:noProof/>
                <w:u w:val="none"/>
                <w:vertAlign w:val="baseline"/>
              </w:rPr>
              <w:t>English</w:t>
            </w:r>
          </w:p>
        </w:tc>
        <w:tc>
          <w:tcPr>
            <w:tcW w:w="5949" w:type="dxa"/>
            <w:shd w:val="clear" w:color="auto" w:fill="F2F2F2"/>
          </w:tcPr>
          <w:p w:rsidR="00A77B3E">
            <w:pPr>
              <w:jc w:val="left"/>
              <w:rPr>
                <w:b/>
                <w:i w:val="0"/>
                <w:noProof/>
                <w:u w:val="none"/>
                <w:vertAlign w:val="baseline"/>
              </w:rPr>
            </w:pPr>
            <w:r>
              <w:rPr>
                <w:b/>
                <w:i w:val="0"/>
                <w:noProof/>
                <w:u w:val="none"/>
                <w:vertAlign w:val="baseline"/>
              </w:rPr>
              <w:t>French</w:t>
            </w:r>
          </w:p>
        </w:tc>
        <w:tc>
          <w:tcPr>
            <w:tcW w:w="1200" w:type="dxa"/>
            <w:shd w:val="clear" w:color="auto" w:fill="F2F2F2"/>
          </w:tcPr>
          <w:p w:rsidR="00A77B3E">
            <w:pPr>
              <w:jc w:val="left"/>
              <w:rPr>
                <w:b/>
                <w:i w:val="0"/>
                <w:noProof/>
                <w:u w:val="none"/>
                <w:vertAlign w:val="baseline"/>
              </w:rPr>
            </w:pPr>
            <w:r>
              <w:rPr>
                <w:b/>
                <w:i w:val="0"/>
                <w:noProof/>
                <w:u w:val="none"/>
                <w:vertAlign w:val="baseline"/>
              </w:rPr>
              <w:t>Comment</w:t>
            </w:r>
          </w:p>
        </w:tc>
        <w:tc>
          <w:tcPr>
            <w:tcW w:w="1640" w:type="dxa"/>
            <w:shd w:val="clear" w:color="auto" w:fill="F2F2F2"/>
          </w:tcPr>
          <w:p w:rsidR="00A77B3E">
            <w:pPr>
              <w:jc w:val="left"/>
            </w:pPr>
            <w:r>
              <w:rPr>
                <w:b/>
                <w:i w:val="0"/>
                <w:noProof/>
                <w:u w:val="none"/>
                <w:vertAlign w:val="baseline"/>
              </w:rPr>
              <w:t>Status</w:t>
            </w:r>
          </w:p>
        </w:tc>
      </w:tr>
      <w:tr>
        <w:tblPrEx>
          <w:tblW w:w="5000" w:type="pct"/>
          <w:tblCellMar>
            <w:left w:w="108" w:type="dxa"/>
            <w:right w:w="108" w:type="dxa"/>
          </w:tblCellMar>
        </w:tblPrEx>
        <w:tc>
          <w:tcPr>
            <w:tcW w:w="360" w:type="dxa"/>
            <w:shd w:val="clear" w:color="auto" w:fill="F2F2F2"/>
          </w:tcPr>
          <w:p w:rsidR="00A77B3E">
            <w:pPr>
              <w:jc w:val="left"/>
            </w:pPr>
            <w:r>
              <w:rPr>
                <w:noProof/>
                <w:sz w:val="16"/>
              </w:rPr>
              <w:t>1</w:t>
              <w:br/>
            </w:r>
            <w:r>
              <w:rPr>
                <w:noProof/>
                <w:sz w:val="2"/>
              </w:rPr>
              <w:t>ecb9d83e-5e45-4520-bd01-eaf211df994c</w:t>
            </w:r>
          </w:p>
        </w:tc>
        <w:tc>
          <w:tcPr>
            <w:tcW w:w="360" w:type="dxa"/>
            <w:shd w:val="clear" w:color="auto" w:fill="F2F2F2"/>
          </w:tcPr>
          <w:p w:rsidR="00A77B3E">
            <w:pPr>
              <w:pStyle w:val="mqeng"/>
              <w:jc w:val="left"/>
            </w:pPr>
            <w:r>
              <w:rPr>
                <w:b/>
                <w:i w:val="0"/>
                <w:noProof/>
                <w:u w:val="none"/>
                <w:vertAlign w:val="baseline"/>
              </w:rPr>
              <w:t>Investment environment</w:t>
            </w:r>
          </w:p>
        </w:tc>
        <w:tc>
          <w:tcPr>
            <w:tcW w:w="360" w:type="dxa"/>
            <w:shd w:val="clear" w:color="auto" w:fill="auto"/>
          </w:tcPr>
          <w:p w:rsidR="00A77B3E">
            <w:pPr>
              <w:pStyle w:val="mqfre"/>
              <w:jc w:val="left"/>
            </w:pPr>
            <w:r>
              <w:rPr>
                <w:b/>
                <w:i w:val="0"/>
                <w:noProof w:val="0"/>
                <w:u w:val="none"/>
                <w:vertAlign w:val="baseline"/>
              </w:rPr>
              <w:t>Investment environment</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r>
          </w:p>
        </w:tc>
      </w:tr>
      <w:tr>
        <w:tblPrEx>
          <w:tblW w:w="5000" w:type="pct"/>
          <w:tblCellMar>
            <w:left w:w="108" w:type="dxa"/>
            <w:right w:w="108" w:type="dxa"/>
          </w:tblCellMar>
        </w:tblPrEx>
        <w:tc>
          <w:tcPr>
            <w:tcW w:w="360" w:type="dxa"/>
            <w:shd w:val="clear" w:color="auto" w:fill="F2F2F2"/>
          </w:tcPr>
          <w:p w:rsidR="00A77B3E">
            <w:pPr>
              <w:jc w:val="left"/>
            </w:pPr>
            <w:r>
              <w:rPr>
                <w:noProof/>
                <w:sz w:val="16"/>
              </w:rPr>
              <w:t>2</w:t>
              <w:br/>
            </w:r>
            <w:r>
              <w:rPr>
                <w:noProof/>
                <w:sz w:val="2"/>
              </w:rPr>
              <w:t>80946219-aed2-4f29-85c9-61d070c70ed7</w:t>
            </w:r>
          </w:p>
        </w:tc>
        <w:tc>
          <w:tcPr>
            <w:tcW w:w="360" w:type="dxa"/>
            <w:shd w:val="clear" w:color="auto" w:fill="F2F2F2"/>
          </w:tcPr>
          <w:p w:rsidR="00A77B3E">
            <w:pPr>
              <w:pStyle w:val="mqeng"/>
              <w:jc w:val="left"/>
            </w:pPr>
            <w:r>
              <w:rPr>
                <w:noProof/>
              </w:rPr>
              <w:t>Fixed income markets cooled slightly in January following the strong rally at the end of last year, and the European high yield bond market made a small positive return.</w:t>
            </w:r>
          </w:p>
        </w:tc>
        <w:tc>
          <w:tcPr>
            <w:tcW w:w="360" w:type="dxa"/>
            <w:shd w:val="clear" w:color="auto" w:fill="auto"/>
          </w:tcPr>
          <w:p w:rsidR="00A77B3E">
            <w:pPr>
              <w:pStyle w:val="mqfre"/>
              <w:jc w:val="left"/>
            </w:pPr>
            <w:r>
              <w:rPr>
                <w:noProof w:val="0"/>
              </w:rPr>
              <w:t>Les marchés obligataires se sont légèrement refroidis en janvier après la forte hausse enregistrée à la fin de l'année dernière, et le marché européen des obligations à haut rendement a dégagé un rendement légèrement positif.</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w:t>
              <w:br/>
            </w:r>
            <w:r>
              <w:rPr>
                <w:noProof/>
                <w:sz w:val="2"/>
              </w:rPr>
              <w:t>1a7c6289-4297-4470-bef6-1427b2cf7a0f</w:t>
            </w:r>
          </w:p>
        </w:tc>
        <w:tc>
          <w:tcPr>
            <w:tcW w:w="360" w:type="dxa"/>
            <w:shd w:val="clear" w:color="auto" w:fill="F2F2F2"/>
          </w:tcPr>
          <w:p w:rsidR="00A77B3E">
            <w:pPr>
              <w:pStyle w:val="mqeng"/>
              <w:jc w:val="left"/>
            </w:pPr>
            <w:r>
              <w:rPr>
                <w:noProof/>
              </w:rPr>
              <w:t>Excess returns were positive.</w:t>
            </w:r>
          </w:p>
        </w:tc>
        <w:tc>
          <w:tcPr>
            <w:tcW w:w="360" w:type="dxa"/>
            <w:shd w:val="clear" w:color="auto" w:fill="auto"/>
          </w:tcPr>
          <w:p w:rsidR="00A77B3E">
            <w:pPr>
              <w:pStyle w:val="mqfre"/>
              <w:jc w:val="left"/>
            </w:pPr>
            <w:r>
              <w:rPr>
                <w:noProof w:val="0"/>
              </w:rPr>
              <w:t>Les rendements excédentaires ont été positifs.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w:t>
              <w:br/>
            </w:r>
            <w:r>
              <w:rPr>
                <w:noProof/>
                <w:sz w:val="2"/>
              </w:rPr>
              <w:t>dd73c3e6-1e49-4db2-aa06-6893b145a570</w:t>
            </w:r>
          </w:p>
        </w:tc>
        <w:tc>
          <w:tcPr>
            <w:tcW w:w="360" w:type="dxa"/>
            <w:shd w:val="clear" w:color="auto" w:fill="F2F2F2"/>
          </w:tcPr>
          <w:p w:rsidR="00A77B3E">
            <w:pPr>
              <w:pStyle w:val="mqeng"/>
              <w:jc w:val="left"/>
            </w:pPr>
            <w:r>
              <w:rPr>
                <w:noProof/>
              </w:rPr>
              <w:t>In Europe, high yield bond spreads tightened as demand for the asset class increased.</w:t>
            </w:r>
          </w:p>
        </w:tc>
        <w:tc>
          <w:tcPr>
            <w:tcW w:w="360" w:type="dxa"/>
            <w:shd w:val="clear" w:color="auto" w:fill="auto"/>
          </w:tcPr>
          <w:p w:rsidR="00A77B3E">
            <w:pPr>
              <w:pStyle w:val="mqfre"/>
              <w:jc w:val="left"/>
            </w:pPr>
            <w:r>
              <w:rPr>
                <w:noProof w:val="0"/>
              </w:rPr>
              <w:t>En Europe, les écarts des obligations à haut rendement se sont resserrés face au regain d'intérêt pour cette classe d'actifs.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5</w:t>
              <w:br/>
            </w:r>
            <w:r>
              <w:rPr>
                <w:noProof/>
                <w:sz w:val="2"/>
              </w:rPr>
              <w:t>77103638-e269-48f5-bc45-d74a77326b74</w:t>
            </w:r>
          </w:p>
        </w:tc>
        <w:tc>
          <w:tcPr>
            <w:tcW w:w="360" w:type="dxa"/>
            <w:shd w:val="clear" w:color="auto" w:fill="F2F2F2"/>
          </w:tcPr>
          <w:p w:rsidR="00A77B3E">
            <w:pPr>
              <w:pStyle w:val="mqeng"/>
              <w:jc w:val="left"/>
            </w:pPr>
            <w:r>
              <w:rPr>
                <w:noProof/>
              </w:rPr>
              <w:t>The European Central Bank (ECB) held rates steady when it met during the month.</w:t>
            </w:r>
          </w:p>
        </w:tc>
        <w:tc>
          <w:tcPr>
            <w:tcW w:w="360" w:type="dxa"/>
            <w:shd w:val="clear" w:color="auto" w:fill="auto"/>
          </w:tcPr>
          <w:p w:rsidR="00A77B3E">
            <w:pPr>
              <w:pStyle w:val="mqfre"/>
              <w:jc w:val="left"/>
            </w:pPr>
            <w:r>
              <w:rPr>
                <w:noProof w:val="0"/>
              </w:rPr>
              <w:t>La Banque centrale européenne (BCE) a maintenu ses taux inchangés à l'issue de la réunion qui s'est tenue au cours du mois.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6</w:t>
              <w:br/>
            </w:r>
            <w:r>
              <w:rPr>
                <w:noProof/>
                <w:sz w:val="2"/>
              </w:rPr>
              <w:t>a2d84b8d-18fc-4206-b623-690ad740c18f</w:t>
            </w:r>
          </w:p>
        </w:tc>
        <w:tc>
          <w:tcPr>
            <w:tcW w:w="360" w:type="dxa"/>
            <w:shd w:val="clear" w:color="auto" w:fill="F2F2F2"/>
          </w:tcPr>
          <w:p w:rsidR="00A77B3E">
            <w:pPr>
              <w:pStyle w:val="mqeng"/>
              <w:jc w:val="left"/>
            </w:pPr>
            <w:r>
              <w:rPr>
                <w:noProof/>
              </w:rPr>
              <w:t>However, President Christine Lagarde highlighted easing pricing pressures in her statement, particularly evidence of moderating wage growth, and her comments heightened expectations that policymakers could loosen monetary policy as early as April.</w:t>
            </w:r>
          </w:p>
        </w:tc>
        <w:tc>
          <w:tcPr>
            <w:tcW w:w="360" w:type="dxa"/>
            <w:shd w:val="clear" w:color="auto" w:fill="auto"/>
          </w:tcPr>
          <w:p w:rsidR="00A77B3E">
            <w:pPr>
              <w:pStyle w:val="mqfre"/>
              <w:jc w:val="left"/>
            </w:pPr>
            <w:r>
              <w:rPr>
                <w:noProof w:val="0"/>
              </w:rPr>
              <w:t>Toutefois, dans sa déclaration, la présidente Christine Lagarde a mis l'accent sur l'atténuation des pressions exercées sur les prix, en particulier sur le ralentissement de la croissance des salaires, et ses commentaires ont renforcé les espoirs d'un assouplissement de la politique monétaire par les responsables politiques dès le mois d'avril.</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7</w:t>
              <w:br/>
            </w:r>
            <w:r>
              <w:rPr>
                <w:noProof/>
                <w:sz w:val="2"/>
              </w:rPr>
              <w:t>a334de9b-f0b0-44ea-91d0-f887134a6e85</w:t>
            </w:r>
          </w:p>
        </w:tc>
        <w:tc>
          <w:tcPr>
            <w:tcW w:w="360" w:type="dxa"/>
            <w:shd w:val="clear" w:color="auto" w:fill="F2F2F2"/>
          </w:tcPr>
          <w:p w:rsidR="00A77B3E">
            <w:pPr>
              <w:pStyle w:val="mqeng"/>
              <w:jc w:val="left"/>
            </w:pPr>
            <w:r>
              <w:rPr>
                <w:noProof/>
              </w:rPr>
              <w:t>The eurozone economy was weak but managed to avoid a technical recession, with no growth over the fourth quarter, after shrinking by 0.1% over the third quarter.</w:t>
            </w:r>
          </w:p>
        </w:tc>
        <w:tc>
          <w:tcPr>
            <w:tcW w:w="360" w:type="dxa"/>
            <w:shd w:val="clear" w:color="auto" w:fill="auto"/>
          </w:tcPr>
          <w:p w:rsidR="00A77B3E">
            <w:pPr>
              <w:pStyle w:val="mqfre"/>
              <w:jc w:val="left"/>
            </w:pPr>
            <w:r>
              <w:rPr>
                <w:noProof w:val="0"/>
              </w:rPr>
              <w:t>L'économie de la zone euro s'est avérée peu dynamique, mais elle est parvenue à éviter une récession technique, avec une croissance nulle au quatrième trimestre, après une contraction de 0,1 % au troisième trimestre.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8</w:t>
              <w:br/>
            </w:r>
            <w:r>
              <w:rPr>
                <w:noProof/>
                <w:sz w:val="2"/>
              </w:rPr>
              <w:t>9771a951-0298-449f-a856-471485112e7f</w:t>
            </w:r>
          </w:p>
        </w:tc>
        <w:tc>
          <w:tcPr>
            <w:tcW w:w="360" w:type="dxa"/>
            <w:shd w:val="clear" w:color="auto" w:fill="F2F2F2"/>
          </w:tcPr>
          <w:p w:rsidR="00A77B3E">
            <w:pPr>
              <w:pStyle w:val="mqeng"/>
              <w:jc w:val="left"/>
            </w:pPr>
            <w:r>
              <w:rPr>
                <w:noProof/>
              </w:rPr>
              <w:t>Meanwhile, concerns around supply chains flared up once again, with the US and UK-conducted airstrikes on Houthi militants in Yemen following attacks on shipping in the Red Sea.</w:t>
            </w:r>
          </w:p>
        </w:tc>
        <w:tc>
          <w:tcPr>
            <w:tcW w:w="360" w:type="dxa"/>
            <w:shd w:val="clear" w:color="auto" w:fill="auto"/>
          </w:tcPr>
          <w:p w:rsidR="00A77B3E">
            <w:pPr>
              <w:pStyle w:val="mqfre"/>
              <w:jc w:val="left"/>
            </w:pPr>
            <w:r>
              <w:rPr>
                <w:noProof w:val="0"/>
              </w:rPr>
              <w:t>Entre-temps, les inquiétudes concernant les chaînes d'approvisionnement se sont à nouveau ravivées, avec les frappes aériennes menées par les États-Unis et le Royaume-Uni contre les activistes houthis au Yémen, à la suite d'attaques sur les navires marchands en mer Rouge.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9</w:t>
              <w:br/>
            </w:r>
            <w:r>
              <w:rPr>
                <w:noProof/>
                <w:sz w:val="2"/>
              </w:rPr>
              <w:t>46a2a472-e500-4730-a84c-95b30048b155</w:t>
            </w:r>
          </w:p>
        </w:tc>
        <w:tc>
          <w:tcPr>
            <w:tcW w:w="360" w:type="dxa"/>
            <w:shd w:val="clear" w:color="auto" w:fill="F2F2F2"/>
          </w:tcPr>
          <w:p w:rsidR="00A77B3E">
            <w:pPr>
              <w:pStyle w:val="mqeng"/>
              <w:jc w:val="left"/>
            </w:pPr>
            <w:r>
              <w:rPr>
                <w:noProof/>
              </w:rPr>
              <w:t>US high yield bond spreads widened over the month in response to the market's solid performance in the fourth quarter, and as stronger-than-expected macroeconomic data dashed investor hopes for earlier interest rate cuts.</w:t>
            </w:r>
          </w:p>
        </w:tc>
        <w:tc>
          <w:tcPr>
            <w:tcW w:w="360" w:type="dxa"/>
            <w:shd w:val="clear" w:color="auto" w:fill="auto"/>
          </w:tcPr>
          <w:p w:rsidR="00A77B3E">
            <w:pPr>
              <w:pStyle w:val="mqfre"/>
              <w:jc w:val="left"/>
            </w:pPr>
            <w:r>
              <w:rPr>
                <w:noProof w:val="0"/>
              </w:rPr>
              <w:t>Les spreads des obligations américaines à haut rendement se sont creusés durant le mois, en réaction à la solide performance du marché au quatrième trimestre, tandis que la publication d'indicateurs macroéconomiques meilleurs que prévu a réduit à néant les espoirs d'une baisse anticipée des taux d'intérêt.</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10</w:t>
              <w:br/>
            </w:r>
            <w:r>
              <w:rPr>
                <w:noProof/>
                <w:sz w:val="2"/>
              </w:rPr>
              <w:t>8532b284-d2f0-4a32-89a7-e7720ee80d9b</w:t>
            </w:r>
          </w:p>
        </w:tc>
        <w:tc>
          <w:tcPr>
            <w:tcW w:w="360" w:type="dxa"/>
            <w:shd w:val="clear" w:color="auto" w:fill="F2F2F2"/>
          </w:tcPr>
          <w:p w:rsidR="00A77B3E">
            <w:pPr>
              <w:pStyle w:val="mqeng"/>
              <w:jc w:val="left"/>
            </w:pPr>
            <w:r>
              <w:rPr>
                <w:noProof/>
              </w:rPr>
              <w:t>Fourth quarter GDP in the US grew by a much stronger-than-expected 3.3% (annualised), albeit down from 4.9% in the third quarter, and the jobs market remained buoyant.</w:t>
            </w:r>
          </w:p>
        </w:tc>
        <w:tc>
          <w:tcPr>
            <w:tcW w:w="360" w:type="dxa"/>
            <w:shd w:val="clear" w:color="auto" w:fill="auto"/>
          </w:tcPr>
          <w:p w:rsidR="00A77B3E">
            <w:pPr>
              <w:pStyle w:val="mqfre"/>
              <w:jc w:val="left"/>
            </w:pPr>
            <w:r>
              <w:rPr>
                <w:noProof w:val="0"/>
              </w:rPr>
              <w:t>Au quatrième trimestre, le PIB des États-Unis a progressé à un rythme nettement plus élevé que prévu (3,3 % en rythme annuel), bien qu'en recul par rapport aux 4,9 % du troisième trimestre, et le marché de l'emploi est resté dynamique.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11</w:t>
              <w:br/>
            </w:r>
            <w:r>
              <w:rPr>
                <w:noProof/>
                <w:sz w:val="2"/>
              </w:rPr>
              <w:t>cc3d3d8d-79b2-414e-b6f7-971d65b3270d</w:t>
            </w:r>
          </w:p>
        </w:tc>
        <w:tc>
          <w:tcPr>
            <w:tcW w:w="360" w:type="dxa"/>
            <w:shd w:val="clear" w:color="auto" w:fill="F2F2F2"/>
          </w:tcPr>
          <w:p w:rsidR="00A77B3E">
            <w:pPr>
              <w:pStyle w:val="mqeng"/>
              <w:jc w:val="left"/>
            </w:pPr>
            <w:r>
              <w:rPr>
                <w:noProof/>
              </w:rPr>
              <w:t>The economy's strength continued to fuel the 'soft-landing' narrative of last year, but it also raised doubts during the month about when the US Federal Reserve (Fed) would start to loosen monetary policy.</w:t>
            </w:r>
          </w:p>
        </w:tc>
        <w:tc>
          <w:tcPr>
            <w:tcW w:w="360" w:type="dxa"/>
            <w:shd w:val="clear" w:color="auto" w:fill="auto"/>
          </w:tcPr>
          <w:p w:rsidR="00A77B3E">
            <w:pPr>
              <w:pStyle w:val="mqfre"/>
              <w:jc w:val="left"/>
            </w:pPr>
            <w:r>
              <w:rPr>
                <w:noProof w:val="0"/>
              </w:rPr>
              <w:t>La vigueur de l'économie a continué à alimenter la thèse d'un « atterrissage en douceur » évoquée l'année dernière, mais elle a également suscité des doutes au cours du mois quant au calendrier d'assouplissement de la politique monétaire de la Réserve fédérale américaine (Fed).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12</w:t>
              <w:br/>
            </w:r>
            <w:r>
              <w:rPr>
                <w:noProof/>
                <w:sz w:val="2"/>
              </w:rPr>
              <w:t>c4e826a8-2785-4cf2-9619-3974343f261f</w:t>
            </w:r>
          </w:p>
        </w:tc>
        <w:tc>
          <w:tcPr>
            <w:tcW w:w="360" w:type="dxa"/>
            <w:shd w:val="clear" w:color="auto" w:fill="F2F2F2"/>
          </w:tcPr>
          <w:p w:rsidR="00A77B3E">
            <w:pPr>
              <w:pStyle w:val="mqeng"/>
              <w:jc w:val="left"/>
            </w:pPr>
            <w:r>
              <w:rPr>
                <w:noProof/>
              </w:rPr>
              <w:t>Indeed, the Fed held rates steady at its meeting at month end, and pushed back on imminent interest rate cuts as inflation remains too high.</w:t>
            </w:r>
          </w:p>
        </w:tc>
        <w:tc>
          <w:tcPr>
            <w:tcW w:w="360" w:type="dxa"/>
            <w:shd w:val="clear" w:color="auto" w:fill="auto"/>
          </w:tcPr>
          <w:p w:rsidR="00A77B3E">
            <w:pPr>
              <w:pStyle w:val="mqfre"/>
              <w:jc w:val="left"/>
            </w:pPr>
            <w:r>
              <w:rPr>
                <w:noProof w:val="0"/>
              </w:rPr>
              <w:t>En effet, la Fed a maintenu ses taux inchangés à l'issue de sa réunion à la fin du mois et a repoussé l'idée d'un abaissement imminent des taux d'intérêt en raison de la persistance d'une inflation trop forte.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13</w:t>
              <w:br/>
            </w:r>
            <w:r>
              <w:rPr>
                <w:noProof/>
                <w:sz w:val="2"/>
              </w:rPr>
              <w:t>0e81616b-f48e-452e-8b8a-5a0a54c68144</w:t>
            </w:r>
          </w:p>
        </w:tc>
        <w:tc>
          <w:tcPr>
            <w:tcW w:w="360" w:type="dxa"/>
            <w:shd w:val="clear" w:color="auto" w:fill="F2F2F2"/>
          </w:tcPr>
          <w:p w:rsidR="00A77B3E">
            <w:pPr>
              <w:pStyle w:val="mqeng"/>
              <w:jc w:val="left"/>
            </w:pPr>
            <w:r>
              <w:rPr>
                <w:noProof/>
              </w:rPr>
              <w:t>In terms of ratings, CCC-rated bonds performed the best, followed by B-rated bonds and then BB-rated bonds.</w:t>
            </w:r>
          </w:p>
        </w:tc>
        <w:tc>
          <w:tcPr>
            <w:tcW w:w="360" w:type="dxa"/>
            <w:shd w:val="clear" w:color="auto" w:fill="auto"/>
          </w:tcPr>
          <w:p w:rsidR="00A77B3E">
            <w:pPr>
              <w:pStyle w:val="mqfre"/>
              <w:jc w:val="left"/>
            </w:pPr>
            <w:r>
              <w:rPr>
                <w:noProof w:val="0"/>
              </w:rPr>
              <w:t>En termes de notations, les obligations notées CCC ont affiché les meilleures performances, devant les obligations notées B et BB.</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(64%)</w:t>
            </w:r>
          </w:p>
        </w:tc>
      </w:tr>
      <w:tr>
        <w:tblPrEx>
          <w:tblW w:w="5000" w:type="pct"/>
          <w:tblCellMar>
            <w:left w:w="108" w:type="dxa"/>
            <w:right w:w="108" w:type="dxa"/>
          </w:tblCellMar>
        </w:tblPrEx>
        <w:tc>
          <w:tcPr>
            <w:tcW w:w="360" w:type="dxa"/>
            <w:shd w:val="clear" w:color="auto" w:fill="F2F2F2"/>
          </w:tcPr>
          <w:p w:rsidR="00A77B3E">
            <w:pPr>
              <w:jc w:val="left"/>
            </w:pPr>
            <w:r>
              <w:rPr>
                <w:noProof/>
                <w:sz w:val="16"/>
              </w:rPr>
              <w:t>14</w:t>
              <w:br/>
            </w:r>
            <w:r>
              <w:rPr>
                <w:noProof/>
                <w:sz w:val="2"/>
              </w:rPr>
              <w:t>b869467b-b652-4393-af93-45721650f450</w:t>
            </w:r>
          </w:p>
        </w:tc>
        <w:tc>
          <w:tcPr>
            <w:tcW w:w="360" w:type="dxa"/>
            <w:shd w:val="clear" w:color="auto" w:fill="F2F2F2"/>
          </w:tcPr>
          <w:p w:rsidR="00A77B3E">
            <w:pPr>
              <w:pStyle w:val="mqeng"/>
              <w:jc w:val="left"/>
            </w:pPr>
            <w:r>
              <w:rPr>
                <w:noProof/>
              </w:rPr>
              <w:t>In terms of sectors, financials outperformed non-financials, mostly driven by real estate, a sector that recovered some of the weakness from previous month.</w:t>
            </w:r>
          </w:p>
        </w:tc>
        <w:tc>
          <w:tcPr>
            <w:tcW w:w="360" w:type="dxa"/>
            <w:shd w:val="clear" w:color="auto" w:fill="auto"/>
          </w:tcPr>
          <w:p w:rsidR="00A77B3E">
            <w:pPr>
              <w:pStyle w:val="mqfre"/>
              <w:jc w:val="left"/>
            </w:pPr>
            <w:r>
              <w:rPr>
                <w:noProof w:val="0"/>
              </w:rPr>
              <w:t>Sur le plan sectoriel, les valeurs financières ont surpassé les valeurs non financières, principalement grâce à l'immobilier qui est parvenu à effacer une partie des pertes subies au cours du mois précédent.</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15</w:t>
              <w:br/>
            </w:r>
            <w:r>
              <w:rPr>
                <w:noProof/>
                <w:sz w:val="2"/>
              </w:rPr>
              <w:t>d8d51b2d-55e0-4169-b565-9f2fd6f507f0</w:t>
            </w:r>
          </w:p>
        </w:tc>
        <w:tc>
          <w:tcPr>
            <w:tcW w:w="360" w:type="dxa"/>
            <w:shd w:val="clear" w:color="auto" w:fill="F2F2F2"/>
          </w:tcPr>
          <w:p w:rsidR="00A77B3E">
            <w:pPr>
              <w:pStyle w:val="mqeng"/>
              <w:jc w:val="left"/>
            </w:pPr>
            <w:r>
              <w:rPr>
                <w:noProof/>
              </w:rPr>
              <w:t>In non-financials, spreads in REITs tightened the most while supermarkets, chemicals and gaming also performed well.</w:t>
            </w:r>
          </w:p>
        </w:tc>
        <w:tc>
          <w:tcPr>
            <w:tcW w:w="360" w:type="dxa"/>
            <w:shd w:val="clear" w:color="auto" w:fill="auto"/>
          </w:tcPr>
          <w:p w:rsidR="00A77B3E">
            <w:pPr>
              <w:pStyle w:val="mqfre"/>
              <w:jc w:val="left"/>
            </w:pPr>
            <w:r>
              <w:rPr>
                <w:noProof w:val="0"/>
              </w:rPr>
              <w:t>Dans le secteur non financier, ce sont les écarts de rendement des REIT qui se sont le plus resserrés, tandis que les supermarchés, les produits chimiques et les jeux ont également enregistré de solides résultats.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(61%)</w:t>
            </w:r>
          </w:p>
        </w:tc>
      </w:tr>
      <w:tr>
        <w:tblPrEx>
          <w:tblW w:w="5000" w:type="pct"/>
          <w:tblCellMar>
            <w:left w:w="108" w:type="dxa"/>
            <w:right w:w="108" w:type="dxa"/>
          </w:tblCellMar>
        </w:tblPrEx>
        <w:tc>
          <w:tcPr>
            <w:tcW w:w="360" w:type="dxa"/>
            <w:shd w:val="clear" w:color="auto" w:fill="F2F2F2"/>
          </w:tcPr>
          <w:p w:rsidR="00A77B3E">
            <w:pPr>
              <w:jc w:val="left"/>
            </w:pPr>
            <w:r>
              <w:rPr>
                <w:noProof/>
                <w:sz w:val="16"/>
              </w:rPr>
              <w:t>16</w:t>
              <w:br/>
            </w:r>
            <w:r>
              <w:rPr>
                <w:noProof/>
                <w:sz w:val="2"/>
              </w:rPr>
              <w:t>e1e427ea-ba79-43fe-a796-34e38cd10612</w:t>
            </w:r>
          </w:p>
        </w:tc>
        <w:tc>
          <w:tcPr>
            <w:tcW w:w="360" w:type="dxa"/>
            <w:shd w:val="clear" w:color="auto" w:fill="F2F2F2"/>
          </w:tcPr>
          <w:p w:rsidR="00A77B3E">
            <w:pPr>
              <w:pStyle w:val="mqeng"/>
              <w:jc w:val="left"/>
            </w:pPr>
            <w:r>
              <w:rPr>
                <w:noProof/>
              </w:rPr>
              <w:t>Automotive and technology sectors underperformed during the month.</w:t>
            </w:r>
          </w:p>
        </w:tc>
        <w:tc>
          <w:tcPr>
            <w:tcW w:w="360" w:type="dxa"/>
            <w:shd w:val="clear" w:color="auto" w:fill="auto"/>
          </w:tcPr>
          <w:p w:rsidR="00A77B3E">
            <w:pPr>
              <w:pStyle w:val="mqfre"/>
              <w:jc w:val="left"/>
            </w:pPr>
            <w:r>
              <w:rPr>
                <w:noProof w:val="0"/>
              </w:rPr>
              <w:t>Les secteurs de l'automobile et des technologies ont sous-performé sur le mois.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17</w:t>
              <w:br/>
            </w:r>
            <w:r>
              <w:rPr>
                <w:noProof/>
                <w:sz w:val="2"/>
              </w:rPr>
              <w:t>fc7e7f3f-3c07-4b24-9419-51ebccf89810</w:t>
            </w:r>
          </w:p>
        </w:tc>
        <w:tc>
          <w:tcPr>
            <w:tcW w:w="360" w:type="dxa"/>
            <w:shd w:val="clear" w:color="auto" w:fill="F2F2F2"/>
          </w:tcPr>
          <w:p w:rsidR="00A77B3E">
            <w:pPr>
              <w:pStyle w:val="mqeng"/>
              <w:jc w:val="left"/>
            </w:pPr>
            <w:r>
              <w:rPr>
                <w:b/>
                <w:i w:val="0"/>
                <w:noProof/>
                <w:u w:val="none"/>
                <w:vertAlign w:val="baseline"/>
              </w:rPr>
              <w:t>Portfolio review</w:t>
            </w:r>
          </w:p>
        </w:tc>
        <w:tc>
          <w:tcPr>
            <w:tcW w:w="360" w:type="dxa"/>
            <w:shd w:val="clear" w:color="auto" w:fill="auto"/>
          </w:tcPr>
          <w:p w:rsidR="00A77B3E">
            <w:pPr>
              <w:pStyle w:val="mqfre"/>
              <w:jc w:val="left"/>
            </w:pPr>
            <w:r>
              <w:rPr>
                <w:b/>
                <w:i w:val="0"/>
                <w:noProof w:val="0"/>
                <w:u w:val="none"/>
                <w:vertAlign w:val="baseline"/>
              </w:rPr>
              <w:t>Portfolio review</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r>
          </w:p>
        </w:tc>
      </w:tr>
      <w:tr>
        <w:tblPrEx>
          <w:tblW w:w="5000" w:type="pct"/>
          <w:tblCellMar>
            <w:left w:w="108" w:type="dxa"/>
            <w:right w:w="108" w:type="dxa"/>
          </w:tblCellMar>
        </w:tblPrEx>
        <w:tc>
          <w:tcPr>
            <w:tcW w:w="360" w:type="dxa"/>
            <w:shd w:val="clear" w:color="auto" w:fill="F2F2F2"/>
          </w:tcPr>
          <w:p w:rsidR="00A77B3E">
            <w:pPr>
              <w:jc w:val="left"/>
            </w:pPr>
            <w:r>
              <w:rPr>
                <w:noProof/>
                <w:sz w:val="16"/>
              </w:rPr>
              <w:t>18</w:t>
              <w:br/>
            </w:r>
            <w:r>
              <w:rPr>
                <w:noProof/>
                <w:sz w:val="2"/>
              </w:rPr>
              <w:t>408f07e6-2765-42e1-8ade-44e09cba1b5d</w:t>
            </w:r>
          </w:p>
        </w:tc>
        <w:tc>
          <w:tcPr>
            <w:tcW w:w="360" w:type="dxa"/>
            <w:shd w:val="clear" w:color="auto" w:fill="F2F2F2"/>
          </w:tcPr>
          <w:p w:rsidR="00A77B3E">
            <w:pPr>
              <w:pStyle w:val="mqeng"/>
              <w:jc w:val="left"/>
            </w:pPr>
            <w:r>
              <w:rPr>
                <w:noProof/>
              </w:rPr>
              <w:t>Security selection and sector allocation were the key drivers of this outperformance.</w:t>
            </w:r>
          </w:p>
        </w:tc>
        <w:tc>
          <w:tcPr>
            <w:tcW w:w="360" w:type="dxa"/>
            <w:shd w:val="clear" w:color="auto" w:fill="auto"/>
          </w:tcPr>
          <w:p w:rsidR="00A77B3E">
            <w:pPr>
              <w:pStyle w:val="mqfre"/>
              <w:jc w:val="left"/>
            </w:pPr>
            <w:r>
              <w:rPr>
                <w:noProof w:val="0"/>
              </w:rPr>
              <w:t>La surperformance s’explique principalement par la sélection de titres et l'allocation sectorielle.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(60%)</w:t>
            </w:r>
          </w:p>
        </w:tc>
      </w:tr>
      <w:tr>
        <w:tblPrEx>
          <w:tblW w:w="5000" w:type="pct"/>
          <w:tblCellMar>
            <w:left w:w="108" w:type="dxa"/>
            <w:right w:w="108" w:type="dxa"/>
          </w:tblCellMar>
        </w:tblPrEx>
        <w:tc>
          <w:tcPr>
            <w:tcW w:w="360" w:type="dxa"/>
            <w:shd w:val="clear" w:color="auto" w:fill="F2F2F2"/>
          </w:tcPr>
          <w:p w:rsidR="00A77B3E">
            <w:pPr>
              <w:jc w:val="left"/>
            </w:pPr>
            <w:r>
              <w:rPr>
                <w:noProof/>
                <w:sz w:val="16"/>
              </w:rPr>
              <w:t>19</w:t>
              <w:br/>
            </w:r>
            <w:r>
              <w:rPr>
                <w:noProof/>
                <w:sz w:val="2"/>
              </w:rPr>
              <w:t>9a56b464-401b-43f4-88b8-1252302743bc</w:t>
            </w:r>
          </w:p>
        </w:tc>
        <w:tc>
          <w:tcPr>
            <w:tcW w:w="360" w:type="dxa"/>
            <w:shd w:val="clear" w:color="auto" w:fill="F2F2F2"/>
          </w:tcPr>
          <w:p w:rsidR="00A77B3E">
            <w:pPr>
              <w:pStyle w:val="mqeng"/>
              <w:jc w:val="left"/>
            </w:pPr>
            <w:r>
              <w:rPr>
                <w:noProof/>
              </w:rPr>
              <w:t>At the sector level, an underweight position in technology and electronics contributed strongly to performance, while an overweight position in health care was a mild detractor.</w:t>
            </w:r>
          </w:p>
        </w:tc>
        <w:tc>
          <w:tcPr>
            <w:tcW w:w="360" w:type="dxa"/>
            <w:shd w:val="clear" w:color="auto" w:fill="auto"/>
          </w:tcPr>
          <w:p w:rsidR="00A77B3E">
            <w:pPr>
              <w:pStyle w:val="mqfre"/>
              <w:jc w:val="left"/>
            </w:pPr>
            <w:r>
              <w:rPr>
                <w:noProof w:val="0"/>
              </w:rPr>
              <w:t>Au niveau sectoriel, la sous-pondération des technologies et de l'électronique a fortement soutenu la performance, tandis que la surpondération des soins de santé a légèrement pesé sur les résultats.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(66%)</w:t>
            </w:r>
          </w:p>
        </w:tc>
      </w:tr>
      <w:tr>
        <w:tblPrEx>
          <w:tblW w:w="5000" w:type="pct"/>
          <w:tblCellMar>
            <w:left w:w="108" w:type="dxa"/>
            <w:right w:w="108" w:type="dxa"/>
          </w:tblCellMar>
        </w:tblPrEx>
        <w:tc>
          <w:tcPr>
            <w:tcW w:w="360" w:type="dxa"/>
            <w:shd w:val="clear" w:color="auto" w:fill="F2F2F2"/>
          </w:tcPr>
          <w:p w:rsidR="00A77B3E">
            <w:pPr>
              <w:jc w:val="left"/>
            </w:pPr>
            <w:r>
              <w:rPr>
                <w:noProof/>
                <w:sz w:val="16"/>
              </w:rPr>
              <w:t>20</w:t>
              <w:br/>
            </w:r>
            <w:r>
              <w:rPr>
                <w:noProof/>
                <w:sz w:val="2"/>
              </w:rPr>
              <w:t>3aefe1dd-8e6a-423a-8b97-f6f4490c73c5</w:t>
            </w:r>
          </w:p>
        </w:tc>
        <w:tc>
          <w:tcPr>
            <w:tcW w:w="360" w:type="dxa"/>
            <w:shd w:val="clear" w:color="auto" w:fill="F2F2F2"/>
          </w:tcPr>
          <w:p w:rsidR="00A77B3E">
            <w:pPr>
              <w:pStyle w:val="mqeng"/>
              <w:jc w:val="left"/>
            </w:pPr>
            <w:r>
              <w:rPr>
                <w:noProof/>
              </w:rPr>
              <w:t>The underweight position in real estate also detracted, as the sector was one of the best performing in January, but the fund benefited from good security selection here.</w:t>
            </w:r>
          </w:p>
        </w:tc>
        <w:tc>
          <w:tcPr>
            <w:tcW w:w="360" w:type="dxa"/>
            <w:shd w:val="clear" w:color="auto" w:fill="auto"/>
          </w:tcPr>
          <w:p w:rsidR="00A77B3E">
            <w:pPr>
              <w:pStyle w:val="mqfre"/>
              <w:jc w:val="left"/>
            </w:pPr>
            <w:r>
              <w:rPr>
                <w:noProof w:val="0"/>
              </w:rPr>
              <w:t>La sous-pondération de l'immobilier a également eu un effet négatif, car ce secteur a enregistré l'une des meilleures performances en janvier, mais le fonds a bénéficié d'une judicieuse sélection de titres dans ce domaine.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21</w:t>
              <w:br/>
            </w:r>
            <w:r>
              <w:rPr>
                <w:noProof/>
                <w:sz w:val="2"/>
              </w:rPr>
              <w:t>b98c5b45-5ab3-4111-9b18-7b2fee47ebe8</w:t>
            </w:r>
          </w:p>
        </w:tc>
        <w:tc>
          <w:tcPr>
            <w:tcW w:w="360" w:type="dxa"/>
            <w:shd w:val="clear" w:color="auto" w:fill="F2F2F2"/>
          </w:tcPr>
          <w:p w:rsidR="00A77B3E">
            <w:pPr>
              <w:pStyle w:val="mqeng"/>
              <w:jc w:val="left"/>
            </w:pPr>
            <w:r>
              <w:rPr>
                <w:noProof/>
              </w:rPr>
              <w:t>Security selection in utilities and retail also added value, while security selection in capital goods and financial services hurt returns.</w:t>
            </w:r>
          </w:p>
        </w:tc>
        <w:tc>
          <w:tcPr>
            <w:tcW w:w="360" w:type="dxa"/>
            <w:shd w:val="clear" w:color="auto" w:fill="auto"/>
          </w:tcPr>
          <w:p w:rsidR="00A77B3E">
            <w:pPr>
              <w:pStyle w:val="mqfre"/>
              <w:jc w:val="left"/>
            </w:pPr>
            <w:r>
              <w:rPr>
                <w:noProof w:val="0"/>
              </w:rPr>
              <w:t>La sélection de titres dans les services aux collectivités et le commerce de détail a également créé de la valeur, tandis qu'elle a nui à la performance dans le secteur des biens d'équipement et des services financiers.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22</w:t>
              <w:br/>
            </w:r>
            <w:r>
              <w:rPr>
                <w:noProof/>
                <w:sz w:val="2"/>
              </w:rPr>
              <w:t>19cf14e4-0cc6-46fe-b972-8d69faa683f8</w:t>
            </w:r>
          </w:p>
        </w:tc>
        <w:tc>
          <w:tcPr>
            <w:tcW w:w="360" w:type="dxa"/>
            <w:shd w:val="clear" w:color="auto" w:fill="F2F2F2"/>
          </w:tcPr>
          <w:p w:rsidR="00A77B3E">
            <w:pPr>
              <w:pStyle w:val="mqeng"/>
              <w:jc w:val="left"/>
            </w:pPr>
            <w:r>
              <w:rPr>
                <w:noProof/>
              </w:rPr>
              <w:t>At the issuer level, the fund's overweight positions in European REITs CPI Property and Aroundtown contributed strongly to returns.</w:t>
            </w:r>
          </w:p>
        </w:tc>
        <w:tc>
          <w:tcPr>
            <w:tcW w:w="360" w:type="dxa"/>
            <w:shd w:val="clear" w:color="auto" w:fill="auto"/>
          </w:tcPr>
          <w:p w:rsidR="00A77B3E">
            <w:pPr>
              <w:pStyle w:val="mqfre"/>
              <w:jc w:val="left"/>
            </w:pPr>
            <w:r>
              <w:rPr>
                <w:noProof w:val="0"/>
              </w:rPr>
              <w:t>Au niveau des émetteurs, la surpondération des REIT européens CPI Property et Aroundtown a fortement dopé la performance du fonds.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(64%)</w:t>
            </w:r>
          </w:p>
        </w:tc>
      </w:tr>
      <w:tr>
        <w:tblPrEx>
          <w:tblW w:w="5000" w:type="pct"/>
          <w:tblCellMar>
            <w:left w:w="108" w:type="dxa"/>
            <w:right w:w="108" w:type="dxa"/>
          </w:tblCellMar>
        </w:tblPrEx>
        <w:tc>
          <w:tcPr>
            <w:tcW w:w="360" w:type="dxa"/>
            <w:shd w:val="clear" w:color="auto" w:fill="F2F2F2"/>
          </w:tcPr>
          <w:p w:rsidR="00A77B3E">
            <w:pPr>
              <w:jc w:val="left"/>
            </w:pPr>
            <w:r>
              <w:rPr>
                <w:noProof/>
                <w:sz w:val="16"/>
              </w:rPr>
              <w:t>23</w:t>
              <w:br/>
            </w:r>
            <w:r>
              <w:rPr>
                <w:noProof/>
                <w:sz w:val="2"/>
              </w:rPr>
              <w:t>836f88cb-e563-49ff-9915-2a790034b187</w:t>
            </w:r>
          </w:p>
        </w:tc>
        <w:tc>
          <w:tcPr>
            <w:tcW w:w="360" w:type="dxa"/>
            <w:shd w:val="clear" w:color="auto" w:fill="F2F2F2"/>
          </w:tcPr>
          <w:p w:rsidR="00A77B3E">
            <w:pPr>
              <w:pStyle w:val="mqeng"/>
              <w:jc w:val="left"/>
            </w:pPr>
            <w:r>
              <w:rPr>
                <w:noProof/>
              </w:rPr>
              <w:t>Both issuers underperformed in 2023, as the high interest rate environment put pressure on their business models and in the case of CPI following December's news that Muddy Waters (the short-selling hedge fund) had bet against it.</w:t>
            </w:r>
          </w:p>
        </w:tc>
        <w:tc>
          <w:tcPr>
            <w:tcW w:w="360" w:type="dxa"/>
            <w:shd w:val="clear" w:color="auto" w:fill="auto"/>
          </w:tcPr>
          <w:p w:rsidR="00A77B3E">
            <w:pPr>
              <w:pStyle w:val="mqfre"/>
              <w:jc w:val="left"/>
            </w:pPr>
            <w:r>
              <w:rPr>
                <w:noProof w:val="0"/>
              </w:rPr>
              <w:t>Ces deux émetteurs ont sous-performé en 2023 pour deux raisons : l'environnement de taux d'intérêt élevés a mis à mal leurs modèles économiques et, dans le cas de CPI, l'annonce en décembre du pari de Muddy Waters (le hedge fund vendeur à découvert) contre lui.</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24</w:t>
              <w:br/>
            </w:r>
            <w:r>
              <w:rPr>
                <w:noProof/>
                <w:sz w:val="2"/>
              </w:rPr>
              <w:t>a72eada4-c752-42ea-b27b-a7e1fd8eb1e2</w:t>
            </w:r>
          </w:p>
        </w:tc>
        <w:tc>
          <w:tcPr>
            <w:tcW w:w="360" w:type="dxa"/>
            <w:shd w:val="clear" w:color="auto" w:fill="F2F2F2"/>
          </w:tcPr>
          <w:p w:rsidR="00A77B3E">
            <w:pPr>
              <w:pStyle w:val="mqeng"/>
              <w:jc w:val="left"/>
            </w:pPr>
            <w:r>
              <w:rPr>
                <w:noProof/>
              </w:rPr>
              <w:t>However, their bonds tightened significantly in January, alongside the broader REIT sector, as investor expectations for a cut in interest rates deepened.</w:t>
            </w:r>
          </w:p>
        </w:tc>
        <w:tc>
          <w:tcPr>
            <w:tcW w:w="360" w:type="dxa"/>
            <w:shd w:val="clear" w:color="auto" w:fill="auto"/>
          </w:tcPr>
          <w:p w:rsidR="00A77B3E">
            <w:pPr>
              <w:pStyle w:val="mqfre"/>
              <w:jc w:val="left"/>
            </w:pPr>
            <w:r>
              <w:rPr>
                <w:noProof w:val="0"/>
              </w:rPr>
              <w:t>Leurs spreads se sont toutefois considérablement resserrés en janvier, à l'instar de l'ensemble du secteur des REIT, car les investisseurs anticipent de plus en plus une baisse des taux d'intérêt.</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25</w:t>
              <w:br/>
            </w:r>
            <w:r>
              <w:rPr>
                <w:noProof/>
                <w:sz w:val="2"/>
              </w:rPr>
              <w:t>fe306996-d982-4300-b587-cc75c99d1821</w:t>
            </w:r>
          </w:p>
        </w:tc>
        <w:tc>
          <w:tcPr>
            <w:tcW w:w="360" w:type="dxa"/>
            <w:shd w:val="clear" w:color="auto" w:fill="F2F2F2"/>
          </w:tcPr>
          <w:p w:rsidR="00A77B3E">
            <w:pPr>
              <w:pStyle w:val="mqeng"/>
              <w:jc w:val="left"/>
            </w:pPr>
            <w:r>
              <w:rPr>
                <w:noProof/>
              </w:rPr>
              <w:t>Not holding France-based information technology company Atos contributed positively to relative returns, as spreads widened over the month.</w:t>
            </w:r>
          </w:p>
        </w:tc>
        <w:tc>
          <w:tcPr>
            <w:tcW w:w="360" w:type="dxa"/>
            <w:shd w:val="clear" w:color="auto" w:fill="auto"/>
          </w:tcPr>
          <w:p w:rsidR="00A77B3E">
            <w:pPr>
              <w:pStyle w:val="mqfre"/>
              <w:jc w:val="left"/>
            </w:pPr>
            <w:r>
              <w:rPr>
                <w:noProof w:val="0"/>
              </w:rPr>
              <w:t>L'absence d'Atos, société informatique française, au sein du portefeuille a contribué positivement à la performance relative, les écarts s'étant creusés au cours du mois.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26</w:t>
              <w:br/>
            </w:r>
            <w:r>
              <w:rPr>
                <w:noProof/>
                <w:sz w:val="2"/>
              </w:rPr>
              <w:t>23670c6c-7d82-4c7a-9daf-f8e58af2fc69</w:t>
            </w:r>
          </w:p>
        </w:tc>
        <w:tc>
          <w:tcPr>
            <w:tcW w:w="360" w:type="dxa"/>
            <w:shd w:val="clear" w:color="auto" w:fill="F2F2F2"/>
          </w:tcPr>
          <w:p w:rsidR="00A77B3E">
            <w:pPr>
              <w:pStyle w:val="mqeng"/>
              <w:jc w:val="left"/>
            </w:pPr>
            <w:r>
              <w:rPr>
                <w:noProof/>
              </w:rPr>
              <w:t>The company's bonds have been volatile recently, with investors questioning its ability to refinance its debt.</w:t>
            </w:r>
          </w:p>
        </w:tc>
        <w:tc>
          <w:tcPr>
            <w:tcW w:w="360" w:type="dxa"/>
            <w:shd w:val="clear" w:color="auto" w:fill="auto"/>
          </w:tcPr>
          <w:p w:rsidR="00A77B3E">
            <w:pPr>
              <w:pStyle w:val="mqfre"/>
              <w:jc w:val="left"/>
            </w:pPr>
            <w:r>
              <w:rPr>
                <w:noProof w:val="0"/>
              </w:rPr>
              <w:t>Les obligations de cette société ont connu une certaine volatilité ces derniers temps, les investisseurs s'interrogeant sur sa capacité à refinancer sa dette.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27</w:t>
              <w:br/>
            </w:r>
            <w:r>
              <w:rPr>
                <w:noProof/>
                <w:sz w:val="2"/>
              </w:rPr>
              <w:t>89ec4613-76a9-4911-b447-c3ae596a5d15</w:t>
            </w:r>
          </w:p>
        </w:tc>
        <w:tc>
          <w:tcPr>
            <w:tcW w:w="360" w:type="dxa"/>
            <w:shd w:val="clear" w:color="auto" w:fill="F2F2F2"/>
          </w:tcPr>
          <w:p w:rsidR="00A77B3E">
            <w:pPr>
              <w:pStyle w:val="mqeng"/>
              <w:jc w:val="left"/>
            </w:pPr>
            <w:r>
              <w:rPr>
                <w:noProof/>
              </w:rPr>
              <w:t>An overweight position in automotive services company RAC also contributed to performance, despite the sector widening in January.</w:t>
            </w:r>
          </w:p>
        </w:tc>
        <w:tc>
          <w:tcPr>
            <w:tcW w:w="360" w:type="dxa"/>
            <w:shd w:val="clear" w:color="auto" w:fill="auto"/>
          </w:tcPr>
          <w:p w:rsidR="00A77B3E">
            <w:pPr>
              <w:pStyle w:val="mqfre"/>
              <w:jc w:val="left"/>
            </w:pPr>
            <w:r>
              <w:rPr>
                <w:noProof w:val="0"/>
              </w:rPr>
              <w:t>La surpondération de la société de services automobiles RAC a également contribué à la performance, et ce malgré l'élargissement du secteur en janvier.</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28</w:t>
              <w:br/>
            </w:r>
            <w:r>
              <w:rPr>
                <w:noProof/>
                <w:sz w:val="2"/>
              </w:rPr>
              <w:t>07481de5-0fa3-415c-a6f7-7575b9556cec</w:t>
            </w:r>
          </w:p>
        </w:tc>
        <w:tc>
          <w:tcPr>
            <w:tcW w:w="360" w:type="dxa"/>
            <w:shd w:val="clear" w:color="auto" w:fill="F2F2F2"/>
          </w:tcPr>
          <w:p w:rsidR="00A77B3E">
            <w:pPr>
              <w:pStyle w:val="mqeng"/>
              <w:jc w:val="left"/>
            </w:pPr>
            <w:r>
              <w:rPr>
                <w:noProof/>
              </w:rPr>
              <w:t>Conversely, not holding some European real estate names that rallied during the month detracted from returns, including Heimstaden Bostad and Heimstaden.</w:t>
            </w:r>
          </w:p>
        </w:tc>
        <w:tc>
          <w:tcPr>
            <w:tcW w:w="360" w:type="dxa"/>
            <w:shd w:val="clear" w:color="auto" w:fill="auto"/>
          </w:tcPr>
          <w:p w:rsidR="00A77B3E">
            <w:pPr>
              <w:pStyle w:val="mqfre"/>
              <w:jc w:val="left"/>
            </w:pPr>
            <w:r>
              <w:rPr>
                <w:noProof w:val="0"/>
              </w:rPr>
              <w:t>À l'inverse, la non-détention de certaines sociétés immobilières européennes, notamment Heimstaden Bostad et Heimstaden, qui ont bien évolué au cours du mois a nui à la performance.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29</w:t>
              <w:br/>
            </w:r>
            <w:r>
              <w:rPr>
                <w:noProof/>
                <w:sz w:val="2"/>
              </w:rPr>
              <w:t>c27c3707-e944-47c6-9379-d97d9e23968f</w:t>
            </w:r>
          </w:p>
        </w:tc>
        <w:tc>
          <w:tcPr>
            <w:tcW w:w="360" w:type="dxa"/>
            <w:shd w:val="clear" w:color="auto" w:fill="F2F2F2"/>
          </w:tcPr>
          <w:p w:rsidR="00A77B3E">
            <w:pPr>
              <w:pStyle w:val="mqeng"/>
              <w:jc w:val="left"/>
            </w:pPr>
            <w:r>
              <w:rPr>
                <w:noProof/>
              </w:rPr>
              <w:t>Glass packaging company Ardagh Metal Packaging, Spanish pharmaceutical Grifols and global health care company Organon also hurt returns.</w:t>
            </w:r>
          </w:p>
        </w:tc>
        <w:tc>
          <w:tcPr>
            <w:tcW w:w="360" w:type="dxa"/>
            <w:shd w:val="clear" w:color="auto" w:fill="auto"/>
          </w:tcPr>
          <w:p w:rsidR="00A77B3E">
            <w:pPr>
              <w:pStyle w:val="mqfre"/>
              <w:jc w:val="left"/>
            </w:pPr>
            <w:r>
              <w:rPr>
                <w:noProof w:val="0"/>
              </w:rPr>
              <w:t>La société d'emballage en verre Ardagh Metal Packaging, le laboratoire pharmaceutique espagnol Grifols et l'entreprise mondiale de soins de santé Organon ont également pesé sur les résultats du fonds.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30</w:t>
              <w:br/>
            </w:r>
            <w:r>
              <w:rPr>
                <w:noProof/>
                <w:sz w:val="2"/>
              </w:rPr>
              <w:t>268b2d80-070e-4cd1-a49c-8f5fd3bb9281</w:t>
            </w:r>
          </w:p>
        </w:tc>
        <w:tc>
          <w:tcPr>
            <w:tcW w:w="360" w:type="dxa"/>
            <w:shd w:val="clear" w:color="auto" w:fill="F2F2F2"/>
          </w:tcPr>
          <w:p w:rsidR="00A77B3E">
            <w:pPr>
              <w:pStyle w:val="mqeng"/>
              <w:jc w:val="left"/>
            </w:pPr>
            <w:r>
              <w:rPr>
                <w:noProof/>
              </w:rPr>
              <w:t>In terms of positioning, we reduced the fund's overweight position in telecommunications by taking profits on some top performing issuers, and added exposure in the REIT space, which we think should benefit as central banks begin to loosen monetary policy.</w:t>
            </w:r>
          </w:p>
        </w:tc>
        <w:tc>
          <w:tcPr>
            <w:tcW w:w="360" w:type="dxa"/>
            <w:shd w:val="clear" w:color="auto" w:fill="auto"/>
          </w:tcPr>
          <w:p w:rsidR="00A77B3E">
            <w:pPr>
              <w:pStyle w:val="mqfre"/>
              <w:jc w:val="left"/>
            </w:pPr>
            <w:r>
              <w:rPr>
                <w:noProof w:val="0"/>
              </w:rPr>
              <w:t>S'agissant du positionnement, nous avons réduit la surpondération du fonds dans les télécommunications par le biais de prises de bénéfices sur certains des émetteurs les plus performants, et nous avons renforcé l'exposition aux REIT, qui, selon nous, devraient bénéficier de l'assouplissement de la politique monétaire des banques centrales.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31</w:t>
              <w:br/>
            </w:r>
            <w:r>
              <w:rPr>
                <w:noProof/>
                <w:sz w:val="2"/>
              </w:rPr>
              <w:t>0bcb777a-c23b-4cb5-b534-285272601102</w:t>
            </w:r>
          </w:p>
        </w:tc>
        <w:tc>
          <w:tcPr>
            <w:tcW w:w="360" w:type="dxa"/>
            <w:shd w:val="clear" w:color="auto" w:fill="F2F2F2"/>
          </w:tcPr>
          <w:p w:rsidR="00A77B3E">
            <w:pPr>
              <w:pStyle w:val="mqeng"/>
              <w:jc w:val="left"/>
            </w:pPr>
            <w:r>
              <w:rPr>
                <w:b/>
                <w:i w:val="0"/>
                <w:noProof/>
                <w:u w:val="none"/>
                <w:vertAlign w:val="baseline"/>
              </w:rPr>
              <w:t>Contributors/detractors</w:t>
            </w:r>
          </w:p>
        </w:tc>
        <w:tc>
          <w:tcPr>
            <w:tcW w:w="360" w:type="dxa"/>
            <w:shd w:val="clear" w:color="auto" w:fill="auto"/>
          </w:tcPr>
          <w:p w:rsidR="00A77B3E">
            <w:pPr>
              <w:pStyle w:val="mqfre"/>
              <w:jc w:val="left"/>
            </w:pPr>
            <w:r>
              <w:rPr>
                <w:b/>
                <w:i w:val="0"/>
                <w:noProof w:val="0"/>
                <w:u w:val="none"/>
                <w:vertAlign w:val="baseline"/>
              </w:rPr>
              <w:t>Contributors/detractors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r>
          </w:p>
        </w:tc>
      </w:tr>
      <w:tr>
        <w:tblPrEx>
          <w:tblW w:w="5000" w:type="pct"/>
          <w:tblCellMar>
            <w:left w:w="108" w:type="dxa"/>
            <w:right w:w="108" w:type="dxa"/>
          </w:tblCellMar>
        </w:tblPrEx>
        <w:tc>
          <w:tcPr>
            <w:tcW w:w="360" w:type="dxa"/>
            <w:shd w:val="clear" w:color="auto" w:fill="F2F2F2"/>
          </w:tcPr>
          <w:p w:rsidR="00A77B3E">
            <w:pPr>
              <w:jc w:val="left"/>
            </w:pPr>
            <w:r>
              <w:rPr>
                <w:noProof/>
                <w:sz w:val="16"/>
              </w:rPr>
              <w:t>32</w:t>
              <w:br/>
            </w:r>
            <w:r>
              <w:rPr>
                <w:noProof/>
                <w:sz w:val="2"/>
              </w:rPr>
              <w:t>081a2ae3-e66b-4d9c-9a0d-674154d7f479</w:t>
            </w:r>
          </w:p>
        </w:tc>
        <w:tc>
          <w:tcPr>
            <w:tcW w:w="360" w:type="dxa"/>
            <w:shd w:val="clear" w:color="auto" w:fill="F2F2F2"/>
          </w:tcPr>
          <w:p w:rsidR="00A77B3E">
            <w:pPr>
              <w:pStyle w:val="mqeng"/>
              <w:jc w:val="left"/>
            </w:pPr>
            <w:r>
              <w:rPr>
                <w:noProof/>
              </w:rPr>
              <w:t>Security selection and sector allocation were the key drivers of the fund's outperformance.</w:t>
            </w:r>
          </w:p>
        </w:tc>
        <w:tc>
          <w:tcPr>
            <w:tcW w:w="360" w:type="dxa"/>
            <w:shd w:val="clear" w:color="auto" w:fill="auto"/>
          </w:tcPr>
          <w:p w:rsidR="00A77B3E">
            <w:pPr>
              <w:pStyle w:val="mqfre"/>
              <w:jc w:val="left"/>
            </w:pPr>
            <w:r>
              <w:rPr>
                <w:noProof w:val="0"/>
              </w:rPr>
              <w:t>La surperformance du fonds s’explique principalement par la sélection de titres et l'allocation sectorielle.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(79%)</w:t>
            </w:r>
          </w:p>
        </w:tc>
      </w:tr>
      <w:tr>
        <w:tblPrEx>
          <w:tblW w:w="5000" w:type="pct"/>
          <w:tblCellMar>
            <w:left w:w="108" w:type="dxa"/>
            <w:right w:w="108" w:type="dxa"/>
          </w:tblCellMar>
        </w:tblPrEx>
        <w:tc>
          <w:tcPr>
            <w:tcW w:w="360" w:type="dxa"/>
            <w:shd w:val="clear" w:color="auto" w:fill="F2F2F2"/>
          </w:tcPr>
          <w:p w:rsidR="00A77B3E">
            <w:pPr>
              <w:jc w:val="left"/>
            </w:pPr>
            <w:r>
              <w:rPr>
                <w:noProof/>
                <w:sz w:val="16"/>
              </w:rPr>
              <w:t>33</w:t>
              <w:br/>
            </w:r>
            <w:r>
              <w:rPr>
                <w:noProof/>
                <w:sz w:val="2"/>
              </w:rPr>
              <w:t>9149ee66-d1ff-4b7f-af58-6020e6977563</w:t>
            </w:r>
          </w:p>
        </w:tc>
        <w:tc>
          <w:tcPr>
            <w:tcW w:w="360" w:type="dxa"/>
            <w:shd w:val="clear" w:color="auto" w:fill="F2F2F2"/>
          </w:tcPr>
          <w:p w:rsidR="00A77B3E">
            <w:pPr>
              <w:pStyle w:val="mqeng"/>
              <w:jc w:val="left"/>
            </w:pPr>
            <w:r>
              <w:rPr>
                <w:b/>
                <w:i w:val="0"/>
                <w:noProof/>
                <w:u w:val="none"/>
                <w:vertAlign w:val="baseline"/>
              </w:rPr>
              <w:t>Outlook</w:t>
            </w:r>
          </w:p>
        </w:tc>
        <w:tc>
          <w:tcPr>
            <w:tcW w:w="360" w:type="dxa"/>
            <w:shd w:val="clear" w:color="auto" w:fill="auto"/>
          </w:tcPr>
          <w:p w:rsidR="00A77B3E">
            <w:pPr>
              <w:pStyle w:val="mqfre"/>
              <w:jc w:val="left"/>
            </w:pPr>
            <w:r>
              <w:rPr>
                <w:b/>
                <w:i w:val="0"/>
                <w:noProof w:val="0"/>
                <w:u w:val="none"/>
                <w:vertAlign w:val="baseline"/>
              </w:rPr>
              <w:t>Outlook</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r>
          </w:p>
        </w:tc>
      </w:tr>
      <w:tr>
        <w:tblPrEx>
          <w:tblW w:w="5000" w:type="pct"/>
          <w:tblCellMar>
            <w:left w:w="108" w:type="dxa"/>
            <w:right w:w="108" w:type="dxa"/>
          </w:tblCellMar>
        </w:tblPrEx>
        <w:tc>
          <w:tcPr>
            <w:tcW w:w="360" w:type="dxa"/>
            <w:shd w:val="clear" w:color="auto" w:fill="F2F2F2"/>
          </w:tcPr>
          <w:p w:rsidR="00A77B3E">
            <w:pPr>
              <w:jc w:val="left"/>
            </w:pPr>
            <w:r>
              <w:rPr>
                <w:noProof/>
                <w:sz w:val="16"/>
              </w:rPr>
              <w:t>34</w:t>
              <w:br/>
            </w:r>
            <w:r>
              <w:rPr>
                <w:noProof/>
                <w:sz w:val="2"/>
              </w:rPr>
              <w:t>8c383000-e52c-4f74-a667-2fcf0f442415</w:t>
            </w:r>
          </w:p>
        </w:tc>
        <w:tc>
          <w:tcPr>
            <w:tcW w:w="360" w:type="dxa"/>
            <w:shd w:val="clear" w:color="auto" w:fill="F2F2F2"/>
          </w:tcPr>
          <w:p w:rsidR="00A77B3E">
            <w:pPr>
              <w:pStyle w:val="mqeng"/>
              <w:jc w:val="left"/>
            </w:pPr>
            <w:r>
              <w:rPr>
                <w:noProof/>
              </w:rPr>
              <w:t>Given the binary outlook, we remain cautious about adding risk and remain focused on selecting companies with strong fundamentals and what we see as attractive valuations.</w:t>
            </w:r>
          </w:p>
        </w:tc>
        <w:tc>
          <w:tcPr>
            <w:tcW w:w="360" w:type="dxa"/>
            <w:shd w:val="clear" w:color="auto" w:fill="auto"/>
          </w:tcPr>
          <w:p w:rsidR="00A77B3E">
            <w:pPr>
              <w:pStyle w:val="mqfre"/>
              <w:jc w:val="left"/>
            </w:pPr>
            <w:r>
              <w:rPr>
                <w:noProof w:val="0"/>
              </w:rPr>
              <w:t>Compte tenu des perspectives binaires, nous hésitons à prendre davantage de risques et continuons à nous concentrer sur la sélection de sociétés présentant des fondamentaux solides et des valorisations que nous jugeons intéressantes.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35</w:t>
              <w:br/>
            </w:r>
            <w:r>
              <w:rPr>
                <w:noProof/>
                <w:sz w:val="2"/>
              </w:rPr>
              <w:t>7fdf2ce7-13f4-4cd3-801a-355cfda331a9</w:t>
            </w:r>
          </w:p>
        </w:tc>
        <w:tc>
          <w:tcPr>
            <w:tcW w:w="360" w:type="dxa"/>
            <w:shd w:val="clear" w:color="auto" w:fill="F2F2F2"/>
          </w:tcPr>
          <w:p w:rsidR="00A77B3E">
            <w:pPr>
              <w:pStyle w:val="mqeng"/>
              <w:jc w:val="left"/>
            </w:pPr>
            <w:r>
              <w:rPr>
                <w:b/>
                <w:i w:val="0"/>
                <w:noProof/>
                <w:u w:val="none"/>
                <w:vertAlign w:val="baseline"/>
              </w:rPr>
              <w:t>Manager outlook</w:t>
            </w:r>
          </w:p>
        </w:tc>
        <w:tc>
          <w:tcPr>
            <w:tcW w:w="360" w:type="dxa"/>
            <w:shd w:val="clear" w:color="auto" w:fill="auto"/>
          </w:tcPr>
          <w:p w:rsidR="00A77B3E">
            <w:pPr>
              <w:pStyle w:val="mqfre"/>
              <w:jc w:val="left"/>
            </w:pPr>
            <w:r>
              <w:rPr>
                <w:b/>
                <w:i w:val="0"/>
                <w:noProof w:val="0"/>
                <w:u w:val="none"/>
                <w:vertAlign w:val="baseline"/>
              </w:rPr>
              <w:t>Manager outlook</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r>
          </w:p>
        </w:tc>
      </w:tr>
      <w:tr>
        <w:tblPrEx>
          <w:tblW w:w="5000" w:type="pct"/>
          <w:tblCellMar>
            <w:left w:w="108" w:type="dxa"/>
            <w:right w:w="108" w:type="dxa"/>
          </w:tblCellMar>
        </w:tblPrEx>
        <w:tc>
          <w:tcPr>
            <w:tcW w:w="360" w:type="dxa"/>
            <w:shd w:val="clear" w:color="auto" w:fill="F2F2F2"/>
          </w:tcPr>
          <w:p w:rsidR="00A77B3E">
            <w:pPr>
              <w:jc w:val="left"/>
            </w:pPr>
            <w:r>
              <w:rPr>
                <w:noProof/>
                <w:sz w:val="16"/>
              </w:rPr>
              <w:t>36</w:t>
              <w:br/>
            </w:r>
            <w:r>
              <w:rPr>
                <w:noProof/>
                <w:sz w:val="2"/>
              </w:rPr>
              <w:t>6a552cba-1dd3-4839-9524-5335e4a8efdf</w:t>
            </w:r>
          </w:p>
        </w:tc>
        <w:tc>
          <w:tcPr>
            <w:tcW w:w="360" w:type="dxa"/>
            <w:shd w:val="clear" w:color="auto" w:fill="F2F2F2"/>
          </w:tcPr>
          <w:p w:rsidR="00A77B3E">
            <w:pPr>
              <w:pStyle w:val="mqeng"/>
              <w:jc w:val="left"/>
            </w:pPr>
            <w:r>
              <w:rPr>
                <w:noProof/>
              </w:rPr>
              <w:t>We maintained the fund's small overweight position to credit spread risk relative to the index.</w:t>
            </w:r>
          </w:p>
        </w:tc>
        <w:tc>
          <w:tcPr>
            <w:tcW w:w="360" w:type="dxa"/>
            <w:shd w:val="clear" w:color="auto" w:fill="auto"/>
          </w:tcPr>
          <w:p w:rsidR="00A77B3E">
            <w:pPr>
              <w:pStyle w:val="mqfre"/>
              <w:jc w:val="left"/>
            </w:pPr>
            <w:r>
              <w:rPr>
                <w:noProof w:val="0"/>
              </w:rPr>
              <w:t>Nous avons maintenu une légère surpondération du fonds sur le risque d’écart de crédit par rapport à l’indice.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(79%)</w:t>
            </w:r>
          </w:p>
        </w:tc>
      </w:tr>
      <w:tr>
        <w:tblPrEx>
          <w:tblW w:w="5000" w:type="pct"/>
          <w:tblCellMar>
            <w:left w:w="108" w:type="dxa"/>
            <w:right w:w="108" w:type="dxa"/>
          </w:tblCellMar>
        </w:tblPrEx>
        <w:tc>
          <w:tcPr>
            <w:tcW w:w="360" w:type="dxa"/>
            <w:shd w:val="clear" w:color="auto" w:fill="F2F2F2"/>
          </w:tcPr>
          <w:p w:rsidR="00A77B3E">
            <w:pPr>
              <w:jc w:val="left"/>
            </w:pPr>
            <w:r>
              <w:rPr>
                <w:noProof/>
                <w:sz w:val="16"/>
              </w:rPr>
              <w:t>37</w:t>
              <w:br/>
            </w:r>
            <w:r>
              <w:rPr>
                <w:noProof/>
                <w:sz w:val="2"/>
              </w:rPr>
              <w:t>1455812d-e105-465b-a6d7-761e3de372f0</w:t>
            </w:r>
          </w:p>
        </w:tc>
        <w:tc>
          <w:tcPr>
            <w:tcW w:w="360" w:type="dxa"/>
            <w:shd w:val="clear" w:color="auto" w:fill="F2F2F2"/>
          </w:tcPr>
          <w:p w:rsidR="00A77B3E">
            <w:pPr>
              <w:pStyle w:val="mqeng"/>
              <w:jc w:val="left"/>
            </w:pPr>
            <w:r>
              <w:rPr>
                <w:noProof/>
              </w:rPr>
              <w:t>Markets reacted swiftly to the prospect of a later start to the Fed's rate-cutting cycle and although this does not change our outlook for the year, it highlights the rates volatility we can expect as investors adjust expectations.</w:t>
            </w:r>
          </w:p>
        </w:tc>
        <w:tc>
          <w:tcPr>
            <w:tcW w:w="360" w:type="dxa"/>
            <w:shd w:val="clear" w:color="auto" w:fill="auto"/>
          </w:tcPr>
          <w:p w:rsidR="00A77B3E">
            <w:pPr>
              <w:pStyle w:val="mqfre"/>
              <w:jc w:val="left"/>
            </w:pPr>
            <w:r>
              <w:rPr>
                <w:noProof w:val="0"/>
              </w:rPr>
              <w:t>Les marchés ont vite réagi à la perspective d'un report du début d'un cycle de réduction des taux de la Fed et, bien que ce retard ne modifie en rien nos perspectives pour l'année, il met en évidence la volatilité des taux à laquelle nous pouvons nous attendre lorsque les investisseurs ajusteront leurs attentes.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38</w:t>
              <w:br/>
            </w:r>
            <w:r>
              <w:rPr>
                <w:noProof/>
                <w:sz w:val="2"/>
              </w:rPr>
              <w:t>a6ac8677-3235-41c7-99b7-c795291069c3</w:t>
            </w:r>
          </w:p>
        </w:tc>
        <w:tc>
          <w:tcPr>
            <w:tcW w:w="360" w:type="dxa"/>
            <w:shd w:val="clear" w:color="auto" w:fill="F2F2F2"/>
          </w:tcPr>
          <w:p w:rsidR="00A77B3E">
            <w:pPr>
              <w:pStyle w:val="mqeng"/>
              <w:jc w:val="left"/>
            </w:pPr>
            <w:r>
              <w:rPr>
                <w:noProof/>
              </w:rPr>
              <w:t>We expect this volatility to spill over into high yield spreads and see two potential scenarios playing out: a near-term spread bear market caused by anything that reignites inflationary concerns, or a temporary re-acceleration of growth that leads to central banks pushing back rate cuts.</w:t>
            </w:r>
          </w:p>
        </w:tc>
        <w:tc>
          <w:tcPr>
            <w:tcW w:w="360" w:type="dxa"/>
            <w:shd w:val="clear" w:color="auto" w:fill="auto"/>
          </w:tcPr>
          <w:p w:rsidR="00A77B3E">
            <w:pPr>
              <w:pStyle w:val="mqfre"/>
              <w:jc w:val="left"/>
            </w:pPr>
            <w:r>
              <w:rPr>
                <w:noProof w:val="0"/>
              </w:rPr>
              <w:t>Cette volatilité devant selon nous se répercuter sur les spreads des obligations à haut rendement, nous envisageons deux scénarios possibles : des spreads à court terme baissiers résultant d'une réactivation des craintes inflationnistes, ou une ré-accélération temporaire de la croissance conduisant les banques centrales à différer les baisses de taux d'intérêt.</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39</w:t>
              <w:br/>
            </w:r>
            <w:r>
              <w:rPr>
                <w:noProof/>
                <w:sz w:val="2"/>
              </w:rPr>
              <w:t>40667f7e-69a2-434c-8224-0b754d4d5048</w:t>
            </w:r>
          </w:p>
        </w:tc>
        <w:tc>
          <w:tcPr>
            <w:tcW w:w="360" w:type="dxa"/>
            <w:shd w:val="clear" w:color="auto" w:fill="F2F2F2"/>
          </w:tcPr>
          <w:p w:rsidR="00A77B3E">
            <w:pPr>
              <w:pStyle w:val="mqeng"/>
              <w:jc w:val="left"/>
            </w:pPr>
            <w:r>
              <w:rPr>
                <w:noProof/>
              </w:rPr>
              <w:t>A steady spread bull market could happen if it becomes clear that inflation is firmly defeated.</w:t>
            </w:r>
          </w:p>
        </w:tc>
        <w:tc>
          <w:tcPr>
            <w:tcW w:w="360" w:type="dxa"/>
            <w:shd w:val="clear" w:color="auto" w:fill="auto"/>
          </w:tcPr>
          <w:p w:rsidR="00A77B3E">
            <w:pPr>
              <w:pStyle w:val="mqfre"/>
              <w:jc w:val="left"/>
            </w:pPr>
            <w:r>
              <w:rPr>
                <w:noProof w:val="0"/>
              </w:rPr>
              <w:t>Un marché haussier à spread stable pourrait se produire s'il ne fait aucun doute que l'inflation est définitivement maîtrisée.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40</w:t>
              <w:br/>
            </w:r>
            <w:r>
              <w:rPr>
                <w:noProof/>
                <w:sz w:val="2"/>
              </w:rPr>
              <w:t>3d482f66-3c4d-4ee6-b88e-03a3e971a73c</w:t>
            </w:r>
          </w:p>
        </w:tc>
        <w:tc>
          <w:tcPr>
            <w:tcW w:w="360" w:type="dxa"/>
            <w:shd w:val="clear" w:color="auto" w:fill="F2F2F2"/>
          </w:tcPr>
          <w:p w:rsidR="00A77B3E">
            <w:pPr>
              <w:pStyle w:val="mqeng"/>
              <w:jc w:val="left"/>
            </w:pPr>
            <w:r>
              <w:rPr>
                <w:noProof/>
              </w:rPr>
              <w:t>Central banks embark on rate cuts to prevent real rates becoming too restrictive, which benefits spread assets.</w:t>
            </w:r>
          </w:p>
        </w:tc>
        <w:tc>
          <w:tcPr>
            <w:tcW w:w="360" w:type="dxa"/>
            <w:shd w:val="clear" w:color="auto" w:fill="auto"/>
          </w:tcPr>
          <w:p w:rsidR="00A77B3E">
            <w:pPr>
              <w:pStyle w:val="mqfre"/>
              <w:jc w:val="left"/>
            </w:pPr>
            <w:r>
              <w:rPr>
                <w:noProof w:val="0"/>
              </w:rPr>
              <w:t>Les banques centrales abaissent leurs taux pour éviter que les taux réels ne deviennent trop restrictifs, ce qui profite aux actifs à spreads.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41</w:t>
              <w:br/>
            </w:r>
            <w:r>
              <w:rPr>
                <w:noProof/>
                <w:sz w:val="2"/>
              </w:rPr>
              <w:t>0f925cd9-6bd4-411a-9ff9-8b9d503cd3d4</w:t>
            </w:r>
          </w:p>
        </w:tc>
        <w:tc>
          <w:tcPr>
            <w:tcW w:w="360" w:type="dxa"/>
            <w:shd w:val="clear" w:color="auto" w:fill="F2F2F2"/>
          </w:tcPr>
          <w:p w:rsidR="00A77B3E">
            <w:pPr>
              <w:pStyle w:val="mqeng"/>
              <w:jc w:val="left"/>
            </w:pPr>
            <w:r>
              <w:rPr>
                <w:noProof/>
              </w:rPr>
              <w:t>Given the binary outlook, we remain cautious about adding risk and remain focus on selecting companies with strong fundamentals and what we consider to be attractive valuations.</w:t>
            </w:r>
          </w:p>
        </w:tc>
        <w:tc>
          <w:tcPr>
            <w:tcW w:w="360" w:type="dxa"/>
            <w:shd w:val="clear" w:color="auto" w:fill="auto"/>
          </w:tcPr>
          <w:p w:rsidR="00A77B3E">
            <w:pPr>
              <w:pStyle w:val="mqfre"/>
              <w:jc w:val="left"/>
            </w:pPr>
            <w:r>
              <w:rPr>
                <w:noProof w:val="0"/>
              </w:rPr>
              <w:t>Compte tenu des perspectives binaires, nous hésitons à prendre davantage de risques et continuons à nous concentrer sur la sélection de sociétés présentant des fondamentaux solides et des valorisations que nous jugeons intéressantes.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(83%)</w:t>
            </w:r>
          </w:p>
        </w:tc>
      </w:tr>
      <w:tr>
        <w:tblPrEx>
          <w:tblW w:w="5000" w:type="pct"/>
          <w:tblCellMar>
            <w:left w:w="108" w:type="dxa"/>
            <w:right w:w="108" w:type="dxa"/>
          </w:tblCellMar>
        </w:tblPrEx>
        <w:tc>
          <w:tcPr>
            <w:tcW w:w="360" w:type="dxa"/>
            <w:shd w:val="clear" w:color="auto" w:fill="F2F2F2"/>
          </w:tcPr>
          <w:p w:rsidR="00A77B3E">
            <w:pPr>
              <w:jc w:val="left"/>
            </w:pPr>
            <w:r>
              <w:rPr>
                <w:noProof/>
                <w:sz w:val="16"/>
              </w:rPr>
              <w:t>42</w:t>
              <w:br/>
            </w:r>
            <w:r>
              <w:rPr>
                <w:noProof/>
                <w:sz w:val="2"/>
              </w:rPr>
              <w:t>e0491f9f-b1eb-4c18-8feb-5fa9165f2ac6</w:t>
            </w:r>
          </w:p>
        </w:tc>
        <w:tc>
          <w:tcPr>
            <w:tcW w:w="360" w:type="dxa"/>
            <w:shd w:val="clear" w:color="auto" w:fill="F2F2F2"/>
          </w:tcPr>
          <w:p w:rsidR="00A77B3E">
            <w:pPr>
              <w:pStyle w:val="mqeng"/>
              <w:jc w:val="left"/>
            </w:pPr>
            <w:r>
              <w:rPr>
                <w:noProof/>
              </w:rPr>
              <w:t>Despite the increase in supply we saw in January, demand remained strong.</w:t>
            </w:r>
          </w:p>
        </w:tc>
        <w:tc>
          <w:tcPr>
            <w:tcW w:w="360" w:type="dxa"/>
            <w:shd w:val="clear" w:color="auto" w:fill="auto"/>
          </w:tcPr>
          <w:p w:rsidR="00A77B3E">
            <w:pPr>
              <w:pStyle w:val="mqfre"/>
              <w:jc w:val="left"/>
            </w:pPr>
            <w:r>
              <w:rPr>
                <w:noProof w:val="0"/>
              </w:rPr>
              <w:t>La demande est restée forte en janvier, malgré l'augmentation de l'offre.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43</w:t>
              <w:br/>
            </w:r>
            <w:r>
              <w:rPr>
                <w:noProof/>
                <w:sz w:val="2"/>
              </w:rPr>
              <w:t>d19fa740-ea67-4d18-8bc6-879436321584</w:t>
            </w:r>
          </w:p>
        </w:tc>
        <w:tc>
          <w:tcPr>
            <w:tcW w:w="360" w:type="dxa"/>
            <w:shd w:val="clear" w:color="auto" w:fill="F2F2F2"/>
          </w:tcPr>
          <w:p w:rsidR="00A77B3E">
            <w:pPr>
              <w:pStyle w:val="mqeng"/>
              <w:jc w:val="left"/>
            </w:pPr>
            <w:r>
              <w:rPr>
                <w:noProof/>
              </w:rPr>
              <w:t>This continues to be a positive technical for the asset class.</w:t>
            </w:r>
          </w:p>
        </w:tc>
        <w:tc>
          <w:tcPr>
            <w:tcW w:w="360" w:type="dxa"/>
            <w:shd w:val="clear" w:color="auto" w:fill="auto"/>
          </w:tcPr>
          <w:p w:rsidR="00A77B3E">
            <w:pPr>
              <w:pStyle w:val="mqfre"/>
              <w:jc w:val="left"/>
            </w:pPr>
            <w:r>
              <w:rPr>
                <w:noProof w:val="0"/>
              </w:rPr>
              <w:t>Cela reste un facteur technique favorable à cette classe d’actifs.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(67%)</w:t>
            </w:r>
          </w:p>
        </w:tc>
      </w:tr>
      <w:tr>
        <w:tblPrEx>
          <w:tblW w:w="5000" w:type="pct"/>
          <w:tblCellMar>
            <w:left w:w="108" w:type="dxa"/>
            <w:right w:w="108" w:type="dxa"/>
          </w:tblCellMar>
        </w:tblPrEx>
        <w:tc>
          <w:tcPr>
            <w:tcW w:w="360" w:type="dxa"/>
            <w:shd w:val="clear" w:color="auto" w:fill="F2F2F2"/>
          </w:tcPr>
          <w:p w:rsidR="00A77B3E">
            <w:pPr>
              <w:jc w:val="left"/>
            </w:pPr>
            <w:r>
              <w:rPr>
                <w:noProof/>
                <w:sz w:val="16"/>
              </w:rPr>
              <w:t>44</w:t>
              <w:br/>
            </w:r>
            <w:r>
              <w:rPr>
                <w:noProof/>
                <w:sz w:val="2"/>
              </w:rPr>
              <w:t>503155a8-3dd3-46af-9b0e-a25251e40e6f</w:t>
            </w:r>
          </w:p>
        </w:tc>
        <w:tc>
          <w:tcPr>
            <w:tcW w:w="360" w:type="dxa"/>
            <w:shd w:val="clear" w:color="auto" w:fill="F2F2F2"/>
          </w:tcPr>
          <w:p w:rsidR="00A77B3E">
            <w:pPr>
              <w:pStyle w:val="mqeng"/>
              <w:jc w:val="left"/>
            </w:pPr>
            <w:r>
              <w:rPr>
                <w:noProof/>
              </w:rPr>
              <w:t>However, as we navigate interest rate cuts expectations and an approaching maturity wall, we remain cautious on the companies with increasing leverage and lower interest rate coverage ratios but positive on companies that continue to have reasonably good interest cover ratios and strong free cash flow measures.</w:t>
            </w:r>
          </w:p>
        </w:tc>
        <w:tc>
          <w:tcPr>
            <w:tcW w:w="360" w:type="dxa"/>
            <w:shd w:val="clear" w:color="auto" w:fill="auto"/>
          </w:tcPr>
          <w:p w:rsidR="00A77B3E">
            <w:pPr>
              <w:pStyle w:val="mqfre"/>
              <w:jc w:val="left"/>
            </w:pPr>
            <w:r>
              <w:rPr>
                <w:noProof w:val="0"/>
              </w:rPr>
              <w:t>Cependant, face aux espoirs de baisse des taux d'intérêt et à l'approche du mur des échéances, nous demeurons prudents à l'égard des sociétés dont l'endettement augmente et dont les ratios de couverture des taux d'intérêt sont plus faibles. Nous sommes en revanche positifs à l'égard des sociétés qui continuent d'afficher des ratios de couverture des taux d'intérêt relativement satisfaisants et des flux de trésorerie disponibles solides.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45</w:t>
              <w:br/>
            </w:r>
            <w:r>
              <w:rPr>
                <w:noProof/>
                <w:sz w:val="2"/>
              </w:rPr>
              <w:t>ce6086f2-4746-481d-837a-4910aa0e0f9c</w:t>
            </w:r>
          </w:p>
        </w:tc>
        <w:tc>
          <w:tcPr>
            <w:tcW w:w="360" w:type="dxa"/>
            <w:shd w:val="clear" w:color="auto" w:fill="F2F2F2"/>
          </w:tcPr>
          <w:p w:rsidR="00A77B3E">
            <w:pPr>
              <w:pStyle w:val="mqeng"/>
              <w:jc w:val="left"/>
            </w:pPr>
            <w:r>
              <w:rPr>
                <w:noProof/>
              </w:rPr>
              <w:t>The deterioration in credit ratios is mild.</w:t>
            </w:r>
          </w:p>
        </w:tc>
        <w:tc>
          <w:tcPr>
            <w:tcW w:w="360" w:type="dxa"/>
            <w:shd w:val="clear" w:color="auto" w:fill="auto"/>
          </w:tcPr>
          <w:p w:rsidR="00A77B3E">
            <w:pPr>
              <w:pStyle w:val="mqfre"/>
              <w:jc w:val="left"/>
            </w:pPr>
            <w:r>
              <w:rPr>
                <w:noProof w:val="0"/>
              </w:rPr>
              <w:t>La dégradation des ratios de crédit se révèle modérée.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46</w:t>
              <w:br/>
            </w:r>
            <w:r>
              <w:rPr>
                <w:noProof/>
                <w:sz w:val="2"/>
              </w:rPr>
              <w:t>313d619f-92a4-4f27-ba44-6a4c37d97106</w:t>
            </w:r>
          </w:p>
        </w:tc>
        <w:tc>
          <w:tcPr>
            <w:tcW w:w="360" w:type="dxa"/>
            <w:shd w:val="clear" w:color="auto" w:fill="F2F2F2"/>
          </w:tcPr>
          <w:p w:rsidR="00A77B3E">
            <w:pPr>
              <w:pStyle w:val="mqeng"/>
              <w:jc w:val="left"/>
            </w:pPr>
            <w:r>
              <w:rPr>
                <w:noProof/>
              </w:rPr>
              <w:t>However, we think default rates are likely to peak at relatively low levels, with a slightly higher default rate in the US given it has a lower-quality high yield bond market than Europe.</w:t>
            </w:r>
          </w:p>
        </w:tc>
        <w:tc>
          <w:tcPr>
            <w:tcW w:w="360" w:type="dxa"/>
            <w:shd w:val="clear" w:color="auto" w:fill="auto"/>
          </w:tcPr>
          <w:p w:rsidR="00A77B3E">
            <w:pPr>
              <w:pStyle w:val="mqfre"/>
              <w:jc w:val="left"/>
            </w:pPr>
            <w:r>
              <w:rPr>
                <w:noProof w:val="0"/>
              </w:rPr>
              <w:t>Toutefois, les taux de défaillance devraient, selon nous, se maintenir à des niveaux relativement bas, bien qu'ils soient légèrement plus élevés aux États-Unis, où le marché des obligations à haut rendement est de moindre qualité que celui de l'Europe.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47</w:t>
              <w:br/>
            </w:r>
            <w:r>
              <w:rPr>
                <w:noProof/>
                <w:sz w:val="2"/>
              </w:rPr>
              <w:t>ee6106c3-4b8c-47d9-9378-ec6784126557</w:t>
            </w:r>
          </w:p>
        </w:tc>
        <w:tc>
          <w:tcPr>
            <w:tcW w:w="360" w:type="dxa"/>
            <w:shd w:val="clear" w:color="auto" w:fill="F2F2F2"/>
          </w:tcPr>
          <w:p w:rsidR="00A77B3E">
            <w:pPr>
              <w:pStyle w:val="mqeng"/>
              <w:jc w:val="left"/>
            </w:pPr>
            <w:r>
              <w:rPr>
                <w:noProof/>
              </w:rPr>
              <w:t>Distress is concentrated in the real estate, telecommunications, media and pharmaceutical sectors.</w:t>
            </w:r>
          </w:p>
        </w:tc>
        <w:tc>
          <w:tcPr>
            <w:tcW w:w="360" w:type="dxa"/>
            <w:shd w:val="clear" w:color="auto" w:fill="auto"/>
          </w:tcPr>
          <w:p w:rsidR="00A77B3E">
            <w:pPr>
              <w:pStyle w:val="mqfre"/>
              <w:jc w:val="left"/>
            </w:pPr>
            <w:r>
              <w:rPr>
                <w:noProof w:val="0"/>
              </w:rPr>
              <w:t>Les difficultés touchent principalement les secteurs de l'immobilier, des télécommunications, des médias et des produits pharmaceutiques.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48</w:t>
              <w:br/>
            </w:r>
            <w:r>
              <w:rPr>
                <w:noProof/>
                <w:sz w:val="2"/>
              </w:rPr>
              <w:t>ac64e871-dc90-44cb-a01d-4a0c720094cc</w:t>
            </w:r>
          </w:p>
        </w:tc>
        <w:tc>
          <w:tcPr>
            <w:tcW w:w="360" w:type="dxa"/>
            <w:shd w:val="clear" w:color="auto" w:fill="F2F2F2"/>
          </w:tcPr>
          <w:p w:rsidR="00A77B3E">
            <w:pPr>
              <w:pStyle w:val="mqeng"/>
              <w:jc w:val="left"/>
            </w:pPr>
            <w:r>
              <w:rPr>
                <w:noProof/>
              </w:rPr>
              <w:t>Shifting work habits, debt loads and higher financing costs explain the problems in real estate, whereas the media sector has been struggling from weakness in cable operators and a general softening in advertising.</w:t>
            </w:r>
          </w:p>
        </w:tc>
        <w:tc>
          <w:tcPr>
            <w:tcW w:w="360" w:type="dxa"/>
            <w:shd w:val="clear" w:color="auto" w:fill="auto"/>
          </w:tcPr>
          <w:p w:rsidR="00A77B3E">
            <w:pPr>
              <w:pStyle w:val="mqfre"/>
              <w:jc w:val="left"/>
            </w:pPr>
            <w:r>
              <w:rPr>
                <w:noProof w:val="0"/>
              </w:rPr>
              <w:t>L'évolution des habitudes de travail, l'endettement et l'augmentation des coûts de financement expliquent les problèmes de l'immobilier, tandis que le secteur des médias a pâti de la faiblesse des câblo-opérateurs et d'un ralentissement général de la publicité.</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49</w:t>
              <w:br/>
            </w:r>
            <w:r>
              <w:rPr>
                <w:noProof/>
                <w:sz w:val="2"/>
              </w:rPr>
              <w:t>fc937026-e21f-4053-893a-d281039511ff</w:t>
            </w:r>
          </w:p>
        </w:tc>
        <w:tc>
          <w:tcPr>
            <w:tcW w:w="360" w:type="dxa"/>
            <w:shd w:val="clear" w:color="auto" w:fill="F2F2F2"/>
          </w:tcPr>
          <w:p w:rsidR="00A77B3E">
            <w:pPr>
              <w:pStyle w:val="mqeng"/>
              <w:jc w:val="left"/>
            </w:pPr>
            <w:r>
              <w:rPr>
                <w:noProof/>
              </w:rPr>
              <w:t>In this macroeconomic and credit environment, where trajectory is uncertain and tail risks significant, we continue to draw on the expertise of our credit research team to select attractively priced, high-quality issues while also managing upside potential and downside risks in the portfolio.</w:t>
            </w:r>
          </w:p>
        </w:tc>
        <w:tc>
          <w:tcPr>
            <w:tcW w:w="360" w:type="dxa"/>
            <w:shd w:val="clear" w:color="auto" w:fill="auto"/>
          </w:tcPr>
          <w:p w:rsidR="00A77B3E">
            <w:pPr>
              <w:pStyle w:val="mqfre"/>
              <w:jc w:val="left"/>
            </w:pPr>
            <w:r>
              <w:rPr>
                <w:noProof w:val="0"/>
              </w:rPr>
              <w:t>Dans cet environnement macroéconomique et de crédit, dont la trajectoire est incertaine et les risques secondaires importants, nous continuons à nous appuyer sur l'expertise de notre équipe de recherche sur le crédit pour sélectionner des émissions de qualité à des prix intéressants, tout en gérant le potentiel de hausse et les risques de baisse au sein du portefeuille.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50</w:t>
              <w:br/>
            </w:r>
            <w:r>
              <w:rPr>
                <w:noProof/>
                <w:sz w:val="2"/>
              </w:rPr>
              <w:t>fd091da6-5926-470c-a124-480f9122cd44</w:t>
            </w:r>
          </w:p>
        </w:tc>
        <w:tc>
          <w:tcPr>
            <w:tcW w:w="360" w:type="dxa"/>
            <w:shd w:val="clear" w:color="auto" w:fill="F2F2F2"/>
          </w:tcPr>
          <w:p w:rsidR="00A77B3E">
            <w:pPr>
              <w:pStyle w:val="mqeng"/>
              <w:jc w:val="left"/>
            </w:pPr>
            <w:r>
              <w:rPr>
                <w:noProof/>
              </w:rPr>
              <w:t>We feel a discriminating approach to security selection, combined with nimbleness in adding or removing risk from the portfolio, will be key to delivering attractive risk-adjusted returns.</w:t>
            </w:r>
          </w:p>
        </w:tc>
        <w:tc>
          <w:tcPr>
            <w:tcW w:w="360" w:type="dxa"/>
            <w:shd w:val="clear" w:color="auto" w:fill="auto"/>
          </w:tcPr>
          <w:p w:rsidR="00A77B3E">
            <w:pPr>
              <w:pStyle w:val="mqfre"/>
              <w:jc w:val="left"/>
            </w:pPr>
            <w:r>
              <w:rPr>
                <w:noProof w:val="0"/>
              </w:rPr>
              <w:t>Nous estimons qu'une sélection de titres rigoureuse et une certaine souplesse dans la gestion des risques au sein du portefeuille, sera essentielle pour obtenir des performances ajustées du risque intéressantes.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(63%)</w:t>
            </w:r>
          </w:p>
        </w:tc>
      </w:tr>
      <w:tr>
        <w:tblPrEx>
          <w:tblW w:w="5000" w:type="pct"/>
          <w:tblCellMar>
            <w:left w:w="108" w:type="dxa"/>
            <w:right w:w="108" w:type="dxa"/>
          </w:tblCellMar>
        </w:tblPrEx>
        <w:tc>
          <w:tcPr>
            <w:tcW w:w="360" w:type="dxa"/>
            <w:shd w:val="clear" w:color="auto" w:fill="F2F2F2"/>
          </w:tcPr>
          <w:p w:rsidR="00A77B3E">
            <w:pPr>
              <w:jc w:val="left"/>
            </w:pPr>
            <w:r>
              <w:rPr>
                <w:noProof/>
                <w:sz w:val="16"/>
              </w:rPr>
              <w:t>51</w:t>
              <w:br/>
            </w:r>
            <w:r>
              <w:rPr>
                <w:noProof/>
                <w:sz w:val="2"/>
              </w:rPr>
              <w:t>62ad6ac8-5ff1-4341-ba37-00ca93d45a8c</w:t>
            </w:r>
          </w:p>
        </w:tc>
        <w:tc>
          <w:tcPr>
            <w:tcW w:w="360" w:type="dxa"/>
            <w:shd w:val="clear" w:color="auto" w:fill="F2F2F2"/>
          </w:tcPr>
          <w:p w:rsidR="00A77B3E">
            <w:pPr>
              <w:pStyle w:val="mqeng"/>
              <w:jc w:val="left"/>
            </w:pPr>
            <w:r>
              <w:rPr>
                <w:noProof/>
              </w:rPr>
              <w:t>Source:</w:t>
            </w:r>
          </w:p>
        </w:tc>
        <w:tc>
          <w:tcPr>
            <w:tcW w:w="360" w:type="dxa"/>
            <w:shd w:val="clear" w:color="auto" w:fill="auto"/>
          </w:tcPr>
          <w:p w:rsidR="00A77B3E">
            <w:pPr>
              <w:pStyle w:val="mqfre"/>
              <w:jc w:val="left"/>
            </w:pPr>
            <w:r>
              <w:rPr>
                <w:noProof w:val="0"/>
              </w:rPr>
              <w:t>Source :</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r>
          </w:p>
        </w:tc>
      </w:tr>
      <w:tr>
        <w:tblPrEx>
          <w:tblW w:w="5000" w:type="pct"/>
          <w:tblCellMar>
            <w:left w:w="108" w:type="dxa"/>
            <w:right w:w="108" w:type="dxa"/>
          </w:tblCellMar>
        </w:tblPrEx>
        <w:tc>
          <w:tcPr>
            <w:tcW w:w="360" w:type="dxa"/>
            <w:shd w:val="clear" w:color="auto" w:fill="F2F2F2"/>
          </w:tcPr>
          <w:p w:rsidR="00A77B3E">
            <w:pPr>
              <w:jc w:val="left"/>
            </w:pPr>
            <w:r>
              <w:rPr>
                <w:noProof/>
                <w:sz w:val="16"/>
              </w:rPr>
              <w:t>52</w:t>
              <w:br/>
            </w:r>
            <w:r>
              <w:rPr>
                <w:noProof/>
                <w:sz w:val="2"/>
              </w:rPr>
              <w:t>fb61fe3d-fd4b-4793-ad64-08391e080169</w:t>
            </w:r>
          </w:p>
        </w:tc>
        <w:tc>
          <w:tcPr>
            <w:tcW w:w="360" w:type="dxa"/>
            <w:shd w:val="clear" w:color="auto" w:fill="F2F2F2"/>
          </w:tcPr>
          <w:p w:rsidR="00A77B3E">
            <w:pPr>
              <w:pStyle w:val="mqeng"/>
              <w:jc w:val="left"/>
            </w:pPr>
            <w:r>
              <w:rPr>
                <w:noProof/>
              </w:rPr>
              <w:t>Janus Henderson Investors, as at 31 January 2024</w:t>
            </w:r>
          </w:p>
        </w:tc>
        <w:tc>
          <w:tcPr>
            <w:tcW w:w="360" w:type="dxa"/>
            <w:shd w:val="clear" w:color="auto" w:fill="auto"/>
          </w:tcPr>
          <w:p w:rsidR="00A77B3E">
            <w:pPr>
              <w:pStyle w:val="mqfre"/>
              <w:jc w:val="left"/>
            </w:pPr>
            <w:r>
              <w:rPr>
                <w:noProof w:val="0"/>
              </w:rPr>
              <w:t>Janus Henderson Investors, au 31 janvier 2024</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r>
          </w:p>
        </w:tc>
      </w:tr>
    </w:tbl>
    <w:p w:rsidR="00A77B3E"/>
    <w:p w:rsidR="00A77B3E"/>
    <w:sectPr>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720"/>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Tahoma" w:eastAsia="Tahoma" w:hAnsi="Tahoma" w:cs="Tahoma"/>
      <w:sz w:val="20"/>
      <w:szCs w:val="20"/>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mqInternal">
    <w:name w:val="mqInternal"/>
    <w:rPr>
      <w:color w:val="800000"/>
    </w:rPr>
  </w:style>
  <w:style w:type="paragraph" w:customStyle="1" w:styleId="mqfre">
    <w:name w:val="mq:fre"/>
    <w:basedOn w:val="Normal"/>
    <w:rPr>
      <w:lang w:val="fr-FR" w:eastAsia="fr-FR" w:bidi="fr-FR"/>
    </w:rPr>
  </w:style>
  <w:style w:type="paragraph" w:customStyle="1" w:styleId="mqeng">
    <w:name w:val="mq:eng"/>
    <w:basedOn w:val="Normal"/>
    <w:rPr>
      <w:lang w:val="gd-GB" w:eastAsia="gd-GB" w:bidi="gd-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asCommentColumn">
    <vt:bool>true</vt:bool>
  </property>
  <property fmtid="{D5CDD505-2E9C-101B-9397-08002B2CF9AE}" pid="3" name="HasStatusColumn">
    <vt:bool>true</vt:bool>
  </property>
  <property fmtid="{D5CDD505-2E9C-101B-9397-08002B2CF9AE}" pid="4" name="HasTwoTargetColumn">
    <vt:bool>false</vt:bool>
  </property>
  <property fmtid="{D5CDD505-2E9C-101B-9397-08002B2CF9AE}" pid="5" name="memoQVersion">
    <vt:lpwstr>11.6.10</vt:lpwstr>
  </property>
</Properties>
</file>