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10.0 -->
  <w:body>
    <w:tbl>
      <w:tblPr>
        <w:tblCaption w:val="TableDocxTableTitle"/>
        <w:tblDescription w:val="34a9b597-9c79-420f-a21f-16980f12edd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0"/>
        <w:gridCol w:w="6032"/>
        <w:gridCol w:w="6032"/>
        <w:gridCol w:w="1217"/>
        <w:gridCol w:w="166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800" w:type="dxa"/>
            <w:gridSpan w:val="5"/>
            <w:shd w:val="clear" w:color="auto" w:fill="F2F2F2"/>
          </w:tcPr>
          <w:p w:rsidR="00A77B3E">
            <w:pPr>
              <w:jc w:val="center"/>
              <w:rPr>
                <w:b/>
                <w:i w:val="0"/>
                <w:noProof/>
                <w:u w:val="none"/>
                <w:vertAlign w:val="baseline"/>
              </w:rPr>
            </w:pPr>
            <w:r>
              <w:rPr>
                <w:b/>
                <w:i w:val="0"/>
                <w:noProof/>
                <w:u w:val="none"/>
                <w:vertAlign w:val="baseline"/>
              </w:rPr>
              <w:t>4801_HHFEHY_EN_M_31012024.docx</w:t>
            </w:r>
          </w:p>
          <w:p w:rsidR="00A77B3E">
            <w:pPr>
              <w:jc w:val="center"/>
              <w:rPr>
                <w:b/>
                <w:i w:val="0"/>
                <w:noProof/>
                <w:u w:val="none"/>
                <w:vertAlign w:val="baseline"/>
              </w:rPr>
            </w:pPr>
            <w:r>
              <w:rPr>
                <w:b/>
                <w:i w:val="0"/>
                <w:noProof/>
                <w:u w:val="none"/>
                <w:vertAlign w:val="baseline"/>
              </w:rPr>
              <w:t>Important! Don’t change segment ID or source text.</w:t>
            </w:r>
          </w:p>
          <w:p w:rsidR="00A77B3E">
            <w:pPr>
              <w:jc w:val="center"/>
              <w:rPr>
                <w:b/>
                <w:i w:val="0"/>
                <w:noProof/>
                <w:u w:val="none"/>
                <w:vertAlign w:val="baseline"/>
              </w:rPr>
            </w:pPr>
            <w:r>
              <w:rPr>
                <w:b/>
                <w:i w:val="0"/>
                <w:noProof/>
                <w:u w:val="none"/>
                <w:vertAlign w:val="baseline"/>
              </w:rPr>
              <w:t>V11.6.10 34a9b597-9c79-420f-a21f-16980f12eddb</w:t>
            </w:r>
          </w:p>
        </w:tc>
      </w:tr>
      <w:tr>
        <w:tblPrEx>
          <w:tblW w:w="5000" w:type="pct"/>
          <w:tblCellMar>
            <w:left w:w="108" w:type="dxa"/>
            <w:right w:w="108" w:type="dxa"/>
          </w:tblCellMar>
        </w:tblPrEx>
        <w:tc>
          <w:tcPr>
            <w:tcW w:w="660" w:type="dxa"/>
            <w:shd w:val="clear" w:color="auto" w:fill="F2F2F2"/>
          </w:tcPr>
          <w:p w:rsidR="00A77B3E">
            <w:pPr>
              <w:jc w:val="left"/>
              <w:rPr>
                <w:b/>
                <w:i w:val="0"/>
                <w:noProof/>
                <w:u w:val="none"/>
                <w:vertAlign w:val="baseline"/>
              </w:rPr>
            </w:pPr>
            <w:r>
              <w:rPr>
                <w:b/>
                <w:i w:val="0"/>
                <w:noProof/>
                <w:u w:val="none"/>
                <w:vertAlign w:val="baseline"/>
              </w:rPr>
              <w:t>ID</w:t>
            </w:r>
          </w:p>
        </w:tc>
        <w:tc>
          <w:tcPr>
            <w:tcW w:w="5949" w:type="dxa"/>
            <w:shd w:val="clear" w:color="auto" w:fill="F2F2F2"/>
          </w:tcPr>
          <w:p w:rsidR="00A77B3E">
            <w:pPr>
              <w:jc w:val="left"/>
              <w:rPr>
                <w:b/>
                <w:i w:val="0"/>
                <w:noProof/>
                <w:u w:val="none"/>
                <w:vertAlign w:val="baseline"/>
              </w:rPr>
            </w:pPr>
            <w:r>
              <w:rPr>
                <w:b/>
                <w:i w:val="0"/>
                <w:noProof/>
                <w:u w:val="none"/>
                <w:vertAlign w:val="baseline"/>
              </w:rPr>
              <w:t>English</w:t>
            </w:r>
          </w:p>
        </w:tc>
        <w:tc>
          <w:tcPr>
            <w:tcW w:w="5949" w:type="dxa"/>
            <w:shd w:val="clear" w:color="auto" w:fill="F2F2F2"/>
          </w:tcPr>
          <w:p w:rsidR="00A77B3E">
            <w:pPr>
              <w:jc w:val="left"/>
              <w:rPr>
                <w:b/>
                <w:i w:val="0"/>
                <w:noProof/>
                <w:u w:val="none"/>
                <w:vertAlign w:val="baseline"/>
              </w:rPr>
            </w:pPr>
            <w:r>
              <w:rPr>
                <w:b/>
                <w:i w:val="0"/>
                <w:noProof/>
                <w:u w:val="none"/>
                <w:vertAlign w:val="baseline"/>
              </w:rPr>
              <w:t>German</w:t>
            </w:r>
          </w:p>
        </w:tc>
        <w:tc>
          <w:tcPr>
            <w:tcW w:w="1200" w:type="dxa"/>
            <w:shd w:val="clear" w:color="auto" w:fill="F2F2F2"/>
          </w:tcPr>
          <w:p w:rsidR="00A77B3E">
            <w:pPr>
              <w:jc w:val="left"/>
              <w:rPr>
                <w:b/>
                <w:i w:val="0"/>
                <w:noProof/>
                <w:u w:val="none"/>
                <w:vertAlign w:val="baseline"/>
              </w:rPr>
            </w:pPr>
            <w:r>
              <w:rPr>
                <w:b/>
                <w:i w:val="0"/>
                <w:noProof/>
                <w:u w:val="none"/>
                <w:vertAlign w:val="baseline"/>
              </w:rPr>
              <w:t>Comment</w:t>
            </w:r>
          </w:p>
        </w:tc>
        <w:tc>
          <w:tcPr>
            <w:tcW w:w="1640" w:type="dxa"/>
            <w:shd w:val="clear" w:color="auto" w:fill="F2F2F2"/>
          </w:tcPr>
          <w:p w:rsidR="00A77B3E">
            <w:pPr>
              <w:jc w:val="left"/>
            </w:pPr>
            <w:r>
              <w:rPr>
                <w:b/>
                <w:i w:val="0"/>
                <w:noProof/>
                <w:u w:val="none"/>
                <w:vertAlign w:val="baseline"/>
              </w:rPr>
              <w:t>Status</w:t>
            </w:r>
          </w:p>
        </w:tc>
      </w:tr>
      <w:tr>
        <w:tblPrEx>
          <w:tblW w:w="5000" w:type="pct"/>
          <w:tblCellMar>
            <w:left w:w="108" w:type="dxa"/>
            <w:right w:w="108" w:type="dxa"/>
          </w:tblCellMar>
        </w:tblPrEx>
        <w:tc>
          <w:tcPr>
            <w:tcW w:w="360" w:type="dxa"/>
            <w:shd w:val="clear" w:color="auto" w:fill="F2F2F2"/>
          </w:tcPr>
          <w:p w:rsidR="00A77B3E">
            <w:pPr>
              <w:jc w:val="left"/>
            </w:pPr>
            <w:r>
              <w:rPr>
                <w:noProof/>
                <w:sz w:val="16"/>
              </w:rPr>
              <w:t>1</w:t>
              <w:br/>
            </w:r>
            <w:r>
              <w:rPr>
                <w:noProof/>
                <w:sz w:val="2"/>
              </w:rPr>
              <w:t>78ff3bab-d1c0-4fec-a178-524d6a0cbd9a</w:t>
            </w:r>
          </w:p>
        </w:tc>
        <w:tc>
          <w:tcPr>
            <w:tcW w:w="360" w:type="dxa"/>
            <w:shd w:val="clear" w:color="auto" w:fill="F2F2F2"/>
          </w:tcPr>
          <w:p w:rsidR="00A77B3E">
            <w:pPr>
              <w:pStyle w:val="mqeng"/>
              <w:jc w:val="left"/>
            </w:pPr>
            <w:r>
              <w:rPr>
                <w:b/>
                <w:i w:val="0"/>
                <w:noProof/>
                <w:u w:val="none"/>
                <w:vertAlign w:val="baseline"/>
              </w:rPr>
              <w:t>Investment environment</w:t>
            </w:r>
          </w:p>
        </w:tc>
        <w:tc>
          <w:tcPr>
            <w:tcW w:w="360" w:type="dxa"/>
            <w:shd w:val="clear" w:color="auto" w:fill="auto"/>
          </w:tcPr>
          <w:p w:rsidR="00A77B3E">
            <w:pPr>
              <w:pStyle w:val="mqger"/>
              <w:jc w:val="left"/>
            </w:pPr>
            <w:r>
              <w:rPr>
                <w:b/>
                <w:i w:val="0"/>
                <w:noProof w:val="0"/>
                <w:u w:val="none"/>
                <w:vertAlign w:val="baseline"/>
              </w:rPr>
              <w:t>Investment environment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2</w:t>
              <w:br/>
            </w:r>
            <w:r>
              <w:rPr>
                <w:noProof/>
                <w:sz w:val="2"/>
              </w:rPr>
              <w:t>ff5d3eed-7a3f-46b5-8906-ed997bf7de9c</w:t>
            </w:r>
          </w:p>
        </w:tc>
        <w:tc>
          <w:tcPr>
            <w:tcW w:w="360" w:type="dxa"/>
            <w:shd w:val="clear" w:color="auto" w:fill="F2F2F2"/>
          </w:tcPr>
          <w:p w:rsidR="00A77B3E">
            <w:pPr>
              <w:pStyle w:val="mqeng"/>
              <w:jc w:val="left"/>
            </w:pPr>
            <w:r>
              <w:rPr>
                <w:noProof/>
              </w:rPr>
              <w:t>Fixed income markets cooled slightly in January following the strong rally at the end of last year, and the European high yield bond market made a small positive return.</w:t>
            </w:r>
          </w:p>
        </w:tc>
        <w:tc>
          <w:tcPr>
            <w:tcW w:w="360" w:type="dxa"/>
            <w:shd w:val="clear" w:color="auto" w:fill="auto"/>
          </w:tcPr>
          <w:p w:rsidR="00A77B3E">
            <w:pPr>
              <w:pStyle w:val="mqger"/>
              <w:jc w:val="left"/>
            </w:pPr>
            <w:r>
              <w:rPr>
                <w:noProof w:val="0"/>
              </w:rPr>
              <w:t>Die Anleihenmärkte kühlten sich im Januar nach der starken Jahresend-Rally etwas ab, und der europäische Hochzinsmarkt verzeichnete eine leicht positive Rendite.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w:t>
              <w:br/>
            </w:r>
            <w:r>
              <w:rPr>
                <w:noProof/>
                <w:sz w:val="2"/>
              </w:rPr>
              <w:t>a033d57e-2c0a-457a-90a6-9eda06e4f2c6</w:t>
            </w:r>
          </w:p>
        </w:tc>
        <w:tc>
          <w:tcPr>
            <w:tcW w:w="360" w:type="dxa"/>
            <w:shd w:val="clear" w:color="auto" w:fill="F2F2F2"/>
          </w:tcPr>
          <w:p w:rsidR="00A77B3E">
            <w:pPr>
              <w:pStyle w:val="mqeng"/>
              <w:jc w:val="left"/>
            </w:pPr>
            <w:r>
              <w:rPr>
                <w:noProof/>
              </w:rPr>
              <w:t>Excess returns were positive.</w:t>
            </w:r>
          </w:p>
        </w:tc>
        <w:tc>
          <w:tcPr>
            <w:tcW w:w="360" w:type="dxa"/>
            <w:shd w:val="clear" w:color="auto" w:fill="auto"/>
          </w:tcPr>
          <w:p w:rsidR="00A77B3E">
            <w:pPr>
              <w:pStyle w:val="mqger"/>
              <w:jc w:val="left"/>
            </w:pPr>
            <w:r>
              <w:rPr>
                <w:noProof w:val="0"/>
              </w:rPr>
              <w:t>Positiv fielen die Überrenditen aus.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(68%)</w:t>
            </w:r>
          </w:p>
        </w:tc>
      </w:tr>
      <w:tr>
        <w:tblPrEx>
          <w:tblW w:w="5000" w:type="pct"/>
          <w:tblCellMar>
            <w:left w:w="108" w:type="dxa"/>
            <w:right w:w="108" w:type="dxa"/>
          </w:tblCellMar>
        </w:tblPrEx>
        <w:tc>
          <w:tcPr>
            <w:tcW w:w="360" w:type="dxa"/>
            <w:shd w:val="clear" w:color="auto" w:fill="F2F2F2"/>
          </w:tcPr>
          <w:p w:rsidR="00A77B3E">
            <w:pPr>
              <w:jc w:val="left"/>
            </w:pPr>
            <w:r>
              <w:rPr>
                <w:noProof/>
                <w:sz w:val="16"/>
              </w:rPr>
              <w:t>4</w:t>
              <w:br/>
            </w:r>
            <w:r>
              <w:rPr>
                <w:noProof/>
                <w:sz w:val="2"/>
              </w:rPr>
              <w:t>f07d20bf-7866-4af9-a615-36afe67807d6</w:t>
            </w:r>
          </w:p>
        </w:tc>
        <w:tc>
          <w:tcPr>
            <w:tcW w:w="360" w:type="dxa"/>
            <w:shd w:val="clear" w:color="auto" w:fill="F2F2F2"/>
          </w:tcPr>
          <w:p w:rsidR="00A77B3E">
            <w:pPr>
              <w:pStyle w:val="mqeng"/>
              <w:jc w:val="left"/>
            </w:pPr>
            <w:r>
              <w:rPr>
                <w:noProof/>
              </w:rPr>
              <w:t>In Europe, high yield bond spreads tightened as demand for the asset class increased.</w:t>
            </w:r>
          </w:p>
        </w:tc>
        <w:tc>
          <w:tcPr>
            <w:tcW w:w="360" w:type="dxa"/>
            <w:shd w:val="clear" w:color="auto" w:fill="auto"/>
          </w:tcPr>
          <w:p w:rsidR="00A77B3E">
            <w:pPr>
              <w:pStyle w:val="mqger"/>
              <w:jc w:val="left"/>
            </w:pPr>
            <w:r>
              <w:rPr>
                <w:noProof w:val="0"/>
              </w:rPr>
              <w:t>In Europa verengten sich die Spreads von Hochzinsanleihen mit der steigenden Nachfrage nach dieser Anlageklasse.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w:t>
              <w:br/>
            </w:r>
            <w:r>
              <w:rPr>
                <w:noProof/>
                <w:sz w:val="2"/>
              </w:rPr>
              <w:t>21b463f9-1283-4a62-a0f3-16c958290593</w:t>
            </w:r>
          </w:p>
        </w:tc>
        <w:tc>
          <w:tcPr>
            <w:tcW w:w="360" w:type="dxa"/>
            <w:shd w:val="clear" w:color="auto" w:fill="F2F2F2"/>
          </w:tcPr>
          <w:p w:rsidR="00A77B3E">
            <w:pPr>
              <w:pStyle w:val="mqeng"/>
              <w:jc w:val="left"/>
            </w:pPr>
            <w:r>
              <w:rPr>
                <w:noProof/>
              </w:rPr>
              <w:t>The European Central Bank (ECB) held rates steady when it met during the month.</w:t>
            </w:r>
          </w:p>
        </w:tc>
        <w:tc>
          <w:tcPr>
            <w:tcW w:w="360" w:type="dxa"/>
            <w:shd w:val="clear" w:color="auto" w:fill="auto"/>
          </w:tcPr>
          <w:p w:rsidR="00A77B3E">
            <w:pPr>
              <w:pStyle w:val="mqger"/>
              <w:jc w:val="left"/>
            </w:pPr>
            <w:r>
              <w:rPr>
                <w:noProof w:val="0"/>
              </w:rPr>
              <w:t>Die Europäische Zentralbank (EZB) behielt die Zinsen auf ihrer Sitzung im Januar unverändert bei.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w:t>
              <w:br/>
            </w:r>
            <w:r>
              <w:rPr>
                <w:noProof/>
                <w:sz w:val="2"/>
              </w:rPr>
              <w:t>200daf95-9a8e-432b-a03a-335a411690b9</w:t>
            </w:r>
          </w:p>
        </w:tc>
        <w:tc>
          <w:tcPr>
            <w:tcW w:w="360" w:type="dxa"/>
            <w:shd w:val="clear" w:color="auto" w:fill="F2F2F2"/>
          </w:tcPr>
          <w:p w:rsidR="00A77B3E">
            <w:pPr>
              <w:pStyle w:val="mqeng"/>
              <w:jc w:val="left"/>
            </w:pPr>
            <w:r>
              <w:rPr>
                <w:noProof/>
              </w:rPr>
              <w:t>However, President Christine Lagarde highlighted easing pricing pressures in her statement, particularly evidence of moderating wage growth, and her comments heightened expectations that policymakers could loosen monetary policy as early as April.</w:t>
            </w:r>
          </w:p>
        </w:tc>
        <w:tc>
          <w:tcPr>
            <w:tcW w:w="360" w:type="dxa"/>
            <w:shd w:val="clear" w:color="auto" w:fill="auto"/>
          </w:tcPr>
          <w:p w:rsidR="00A77B3E">
            <w:pPr>
              <w:pStyle w:val="mqger"/>
              <w:jc w:val="left"/>
            </w:pPr>
            <w:r>
              <w:rPr>
                <w:noProof w:val="0"/>
              </w:rPr>
              <w:t>EZB-Präsidentin Christine Lagarde wies in ihrer Erklärung jedoch auf den nachlassenden Preisdruck und insbesondere auf Anzeichen eines schwächeren Lohnwachstums hin. Ihre Äußerungen schürten die Erwartung, dass die Zentralbank die Zinszügel bereits im April lockern könnte.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w:t>
              <w:br/>
            </w:r>
            <w:r>
              <w:rPr>
                <w:noProof/>
                <w:sz w:val="2"/>
              </w:rPr>
              <w:t>4a118a6b-9bb6-4e8f-923c-57a65b8e40e3</w:t>
            </w:r>
          </w:p>
        </w:tc>
        <w:tc>
          <w:tcPr>
            <w:tcW w:w="360" w:type="dxa"/>
            <w:shd w:val="clear" w:color="auto" w:fill="F2F2F2"/>
          </w:tcPr>
          <w:p w:rsidR="00A77B3E">
            <w:pPr>
              <w:pStyle w:val="mqeng"/>
              <w:jc w:val="left"/>
            </w:pPr>
            <w:r>
              <w:rPr>
                <w:noProof/>
              </w:rPr>
              <w:t>The eurozone economy was weak but managed to avoid a technical recession, with no growth over the fourth quarter, after shrinking by 0.1% over the third quarter.</w:t>
            </w:r>
          </w:p>
        </w:tc>
        <w:tc>
          <w:tcPr>
            <w:tcW w:w="360" w:type="dxa"/>
            <w:shd w:val="clear" w:color="auto" w:fill="auto"/>
          </w:tcPr>
          <w:p w:rsidR="00A77B3E">
            <w:pPr>
              <w:pStyle w:val="mqger"/>
              <w:jc w:val="left"/>
            </w:pPr>
            <w:r>
              <w:rPr>
                <w:noProof w:val="0"/>
              </w:rPr>
              <w:t>Die Wirtschaft der Eurozone tendierte schwach. Eine technische Rezession wurde aber vermieden, da die Konjunktur im 4. Quartal auf der Stelle trat, nachdem sie im 3. Quartal um 0,1 % geschrumpft war.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w:t>
              <w:br/>
            </w:r>
            <w:r>
              <w:rPr>
                <w:noProof/>
                <w:sz w:val="2"/>
              </w:rPr>
              <w:t>7c2f27ba-318d-4dc0-a5a4-49755eca5930</w:t>
            </w:r>
          </w:p>
        </w:tc>
        <w:tc>
          <w:tcPr>
            <w:tcW w:w="360" w:type="dxa"/>
            <w:shd w:val="clear" w:color="auto" w:fill="F2F2F2"/>
          </w:tcPr>
          <w:p w:rsidR="00A77B3E">
            <w:pPr>
              <w:pStyle w:val="mqeng"/>
              <w:jc w:val="left"/>
            </w:pPr>
            <w:r>
              <w:rPr>
                <w:noProof/>
              </w:rPr>
              <w:t>Meanwhile, concerns around supply chains flared up once again, with the US and UK-conducted airstrikes on Houthi militants in Yemen following attacks on shipping in the Red Sea.</w:t>
            </w:r>
          </w:p>
        </w:tc>
        <w:tc>
          <w:tcPr>
            <w:tcW w:w="360" w:type="dxa"/>
            <w:shd w:val="clear" w:color="auto" w:fill="auto"/>
          </w:tcPr>
          <w:p w:rsidR="00A77B3E">
            <w:pPr>
              <w:pStyle w:val="mqger"/>
              <w:jc w:val="left"/>
            </w:pPr>
            <w:r>
              <w:rPr>
                <w:noProof w:val="0"/>
              </w:rPr>
              <w:t>Unterdessen flammten erneut Sorgen mit Blick auf die Sicherheit der Lieferketten auf, da die USA und Großbritannien nach Angriffen auf Schiffe im Roten Meer die Huthi-Miliz im Jemen aus der Luft angegriffen hatten.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w:t>
              <w:br/>
            </w:r>
            <w:r>
              <w:rPr>
                <w:noProof/>
                <w:sz w:val="2"/>
              </w:rPr>
              <w:t>385792dc-80de-4a31-beeb-52153e06e81d</w:t>
            </w:r>
          </w:p>
        </w:tc>
        <w:tc>
          <w:tcPr>
            <w:tcW w:w="360" w:type="dxa"/>
            <w:shd w:val="clear" w:color="auto" w:fill="F2F2F2"/>
          </w:tcPr>
          <w:p w:rsidR="00A77B3E">
            <w:pPr>
              <w:pStyle w:val="mqeng"/>
              <w:jc w:val="left"/>
            </w:pPr>
            <w:r>
              <w:rPr>
                <w:noProof/>
              </w:rPr>
              <w:t>US high yield bond spreads widened over the month in response to the market's solid performance in the fourth quarter, and as stronger-than-expected macroeconomic data dashed investor hopes for earlier interest rate cuts.</w:t>
            </w:r>
          </w:p>
        </w:tc>
        <w:tc>
          <w:tcPr>
            <w:tcW w:w="360" w:type="dxa"/>
            <w:shd w:val="clear" w:color="auto" w:fill="auto"/>
          </w:tcPr>
          <w:p w:rsidR="00A77B3E">
            <w:pPr>
              <w:pStyle w:val="mqger"/>
              <w:jc w:val="left"/>
            </w:pPr>
            <w:r>
              <w:rPr>
                <w:noProof w:val="0"/>
              </w:rPr>
              <w:t>Die Spreads von US-Hochzinsanleihen weiteten sich im Januar als Reaktion auf die solide Performance im 4. Quartal und die unerwartet guten Konjunkturdaten. Diese machten die Hoffnung vieler Anleger zunichte, dass die Zinssenkungen schon früher beginnen könnten.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w:t>
              <w:br/>
            </w:r>
            <w:r>
              <w:rPr>
                <w:noProof/>
                <w:sz w:val="2"/>
              </w:rPr>
              <w:t>062b9de2-1543-4cc9-87ad-d8849bc6f430</w:t>
            </w:r>
          </w:p>
        </w:tc>
        <w:tc>
          <w:tcPr>
            <w:tcW w:w="360" w:type="dxa"/>
            <w:shd w:val="clear" w:color="auto" w:fill="F2F2F2"/>
          </w:tcPr>
          <w:p w:rsidR="00A77B3E">
            <w:pPr>
              <w:pStyle w:val="mqeng"/>
              <w:jc w:val="left"/>
            </w:pPr>
            <w:r>
              <w:rPr>
                <w:noProof/>
              </w:rPr>
              <w:t>Fourth quarter GDP in the US grew by a much stronger-than-expected 3.3% (annualised), albeit down from 4.9% in the third quarter, and the jobs market remained buoyant.</w:t>
            </w:r>
          </w:p>
        </w:tc>
        <w:tc>
          <w:tcPr>
            <w:tcW w:w="360" w:type="dxa"/>
            <w:shd w:val="clear" w:color="auto" w:fill="auto"/>
          </w:tcPr>
          <w:p w:rsidR="00A77B3E">
            <w:pPr>
              <w:pStyle w:val="mqger"/>
              <w:jc w:val="left"/>
            </w:pPr>
            <w:r>
              <w:rPr>
                <w:noProof w:val="0"/>
              </w:rPr>
              <w:t>Im 4. Quartal wuchs das BIP in den USA mit einer Jahresrate von 3,3 % deutlich stärker als erwartet, wenn auch weniger als die 4,9 % im 3. Quartal. Derweil setzte sich die sehr gute Lage am Arbeitsmarkt fort.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w:t>
              <w:br/>
            </w:r>
            <w:r>
              <w:rPr>
                <w:noProof/>
                <w:sz w:val="2"/>
              </w:rPr>
              <w:t>4de63539-e495-4d38-a996-361246481e24</w:t>
            </w:r>
          </w:p>
        </w:tc>
        <w:tc>
          <w:tcPr>
            <w:tcW w:w="360" w:type="dxa"/>
            <w:shd w:val="clear" w:color="auto" w:fill="F2F2F2"/>
          </w:tcPr>
          <w:p w:rsidR="00A77B3E">
            <w:pPr>
              <w:pStyle w:val="mqeng"/>
              <w:jc w:val="left"/>
            </w:pPr>
            <w:r>
              <w:rPr>
                <w:noProof/>
              </w:rPr>
              <w:t>The economy's strength continued to fuel the 'soft-landing' narrative of last year, but it also raised doubts during the month about when the US Federal Reserve (Fed) would start to loosen monetary policy.</w:t>
            </w:r>
          </w:p>
        </w:tc>
        <w:tc>
          <w:tcPr>
            <w:tcW w:w="360" w:type="dxa"/>
            <w:shd w:val="clear" w:color="auto" w:fill="auto"/>
          </w:tcPr>
          <w:p w:rsidR="00A77B3E">
            <w:pPr>
              <w:pStyle w:val="mqger"/>
              <w:jc w:val="left"/>
            </w:pPr>
            <w:r>
              <w:rPr>
                <w:noProof w:val="0"/>
              </w:rPr>
              <w:t>Die starke Wirtschaft nährte weiter die Erwartung einer „weichen Landung“ vom letzten Jahr. Sie ließ im Monatsverlauf aber auch Zweifel an einem baldigen Beginn von Zinssenkungen durch die US-Notenbank (Fed) aufkommen.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w:t>
              <w:br/>
            </w:r>
            <w:r>
              <w:rPr>
                <w:noProof/>
                <w:sz w:val="2"/>
              </w:rPr>
              <w:t>937429d8-acfd-478c-8e1d-3d242a300ef7</w:t>
            </w:r>
          </w:p>
        </w:tc>
        <w:tc>
          <w:tcPr>
            <w:tcW w:w="360" w:type="dxa"/>
            <w:shd w:val="clear" w:color="auto" w:fill="F2F2F2"/>
          </w:tcPr>
          <w:p w:rsidR="00A77B3E">
            <w:pPr>
              <w:pStyle w:val="mqeng"/>
              <w:jc w:val="left"/>
            </w:pPr>
            <w:r>
              <w:rPr>
                <w:noProof/>
              </w:rPr>
              <w:t>Indeed, the Fed held rates steady at its meeting at month end, and pushed back on imminent interest rate cuts as inflation remains too high.</w:t>
            </w:r>
          </w:p>
        </w:tc>
        <w:tc>
          <w:tcPr>
            <w:tcW w:w="360" w:type="dxa"/>
            <w:shd w:val="clear" w:color="auto" w:fill="auto"/>
          </w:tcPr>
          <w:p w:rsidR="00A77B3E">
            <w:pPr>
              <w:pStyle w:val="mqger"/>
              <w:jc w:val="left"/>
            </w:pPr>
            <w:r>
              <w:rPr>
                <w:noProof w:val="0"/>
              </w:rPr>
              <w:t>Tatsächlich behielt die Fed auf ihrer Sitzung am Monatsende die Zinsen unverändert bei und erteilte schnellen Zinssenkungen mit Verweis auf die weiterhin zu hohe Inflation eine Absage.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w:t>
              <w:br/>
            </w:r>
            <w:r>
              <w:rPr>
                <w:noProof/>
                <w:sz w:val="2"/>
              </w:rPr>
              <w:t>8ea6d039-3dfd-44de-a364-59e2d948da39</w:t>
            </w:r>
          </w:p>
        </w:tc>
        <w:tc>
          <w:tcPr>
            <w:tcW w:w="360" w:type="dxa"/>
            <w:shd w:val="clear" w:color="auto" w:fill="F2F2F2"/>
          </w:tcPr>
          <w:p w:rsidR="00A77B3E">
            <w:pPr>
              <w:pStyle w:val="mqeng"/>
              <w:jc w:val="left"/>
            </w:pPr>
            <w:r>
              <w:rPr>
                <w:noProof/>
              </w:rPr>
              <w:t>In terms of ratings, CCC-rated bonds performed the best, followed by B-rated bonds and then BB-rated bonds.</w:t>
            </w:r>
          </w:p>
        </w:tc>
        <w:tc>
          <w:tcPr>
            <w:tcW w:w="360" w:type="dxa"/>
            <w:shd w:val="clear" w:color="auto" w:fill="auto"/>
          </w:tcPr>
          <w:p w:rsidR="00A77B3E">
            <w:pPr>
              <w:pStyle w:val="mqger"/>
              <w:jc w:val="left"/>
            </w:pPr>
            <w:r>
              <w:rPr>
                <w:noProof w:val="0"/>
              </w:rPr>
              <w:t>Nach Ratings aufgeschlüsselt erzielten Anleihen mit Rating CCC die beste Performance, gefolgt von solchen mit Rating B und BB.</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(66%)</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w:t>
              <w:br/>
            </w:r>
            <w:r>
              <w:rPr>
                <w:noProof/>
                <w:sz w:val="2"/>
              </w:rPr>
              <w:t>e95a403e-6ffe-4022-bdbc-dfd254e52256</w:t>
            </w:r>
          </w:p>
        </w:tc>
        <w:tc>
          <w:tcPr>
            <w:tcW w:w="360" w:type="dxa"/>
            <w:shd w:val="clear" w:color="auto" w:fill="F2F2F2"/>
          </w:tcPr>
          <w:p w:rsidR="00A77B3E">
            <w:pPr>
              <w:pStyle w:val="mqeng"/>
              <w:jc w:val="left"/>
            </w:pPr>
            <w:r>
              <w:rPr>
                <w:noProof/>
              </w:rPr>
              <w:t>In terms of sectors, financials outperformed non-financials, mostly driven by real estate, a sector that recovered some of the weakness from previous month.</w:t>
            </w:r>
          </w:p>
        </w:tc>
        <w:tc>
          <w:tcPr>
            <w:tcW w:w="360" w:type="dxa"/>
            <w:shd w:val="clear" w:color="auto" w:fill="auto"/>
          </w:tcPr>
          <w:p w:rsidR="00A77B3E">
            <w:pPr>
              <w:pStyle w:val="mqger"/>
              <w:jc w:val="left"/>
            </w:pPr>
            <w:r>
              <w:rPr>
                <w:noProof w:val="0"/>
              </w:rPr>
              <w:t>Bezogen auf die Sektoren schnitten Finanzwerte besser ab als Nicht-Finanzwerte. Das war vor allem dem Immobiliensektor zu verdanken, der einen Teil der Verluste des Vormonats wettmachte.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w:t>
              <w:br/>
            </w:r>
            <w:r>
              <w:rPr>
                <w:noProof/>
                <w:sz w:val="2"/>
              </w:rPr>
              <w:t>f3a5e3c2-e9bd-4759-8d49-ecc8abe35a32</w:t>
            </w:r>
          </w:p>
        </w:tc>
        <w:tc>
          <w:tcPr>
            <w:tcW w:w="360" w:type="dxa"/>
            <w:shd w:val="clear" w:color="auto" w:fill="F2F2F2"/>
          </w:tcPr>
          <w:p w:rsidR="00A77B3E">
            <w:pPr>
              <w:pStyle w:val="mqeng"/>
              <w:jc w:val="left"/>
            </w:pPr>
            <w:r>
              <w:rPr>
                <w:noProof/>
              </w:rPr>
              <w:t>In non-financials, spreads in REITs tightened the most while supermarkets, chemicals and gaming also performed well.</w:t>
            </w:r>
          </w:p>
        </w:tc>
        <w:tc>
          <w:tcPr>
            <w:tcW w:w="360" w:type="dxa"/>
            <w:shd w:val="clear" w:color="auto" w:fill="auto"/>
          </w:tcPr>
          <w:p w:rsidR="00A77B3E">
            <w:pPr>
              <w:pStyle w:val="mqger"/>
              <w:jc w:val="left"/>
            </w:pPr>
            <w:r>
              <w:rPr>
                <w:noProof w:val="0"/>
              </w:rPr>
              <w:t>Bei den Nicht-Finanzanleihen verengten sich die Spreads von REITs am meisten, aber auch die Bereiche Supermärkte, Chemie und Gaming entwickelten sich gut.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(61%)</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w:t>
              <w:br/>
            </w:r>
            <w:r>
              <w:rPr>
                <w:noProof/>
                <w:sz w:val="2"/>
              </w:rPr>
              <w:t>220418d5-98aa-486b-a945-6b7ae0846910</w:t>
            </w:r>
          </w:p>
        </w:tc>
        <w:tc>
          <w:tcPr>
            <w:tcW w:w="360" w:type="dxa"/>
            <w:shd w:val="clear" w:color="auto" w:fill="F2F2F2"/>
          </w:tcPr>
          <w:p w:rsidR="00A77B3E">
            <w:pPr>
              <w:pStyle w:val="mqeng"/>
              <w:jc w:val="left"/>
            </w:pPr>
            <w:r>
              <w:rPr>
                <w:noProof/>
              </w:rPr>
              <w:t>Automotive and technology sectors underperformed during the month.</w:t>
            </w:r>
          </w:p>
        </w:tc>
        <w:tc>
          <w:tcPr>
            <w:tcW w:w="360" w:type="dxa"/>
            <w:shd w:val="clear" w:color="auto" w:fill="auto"/>
          </w:tcPr>
          <w:p w:rsidR="00A77B3E">
            <w:pPr>
              <w:pStyle w:val="mqger"/>
              <w:jc w:val="left"/>
            </w:pPr>
            <w:r>
              <w:rPr>
                <w:noProof w:val="0"/>
              </w:rPr>
              <w:t>Der Automobil- und der Technologiesektor hielten im Berichtsmonat nicht mit dem Gesamtmarkt Schritt.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w:t>
              <w:br/>
            </w:r>
            <w:r>
              <w:rPr>
                <w:noProof/>
                <w:sz w:val="2"/>
              </w:rPr>
              <w:t>cecc1647-3d4f-4419-8bd0-c5a0a37a2c27</w:t>
            </w:r>
          </w:p>
        </w:tc>
        <w:tc>
          <w:tcPr>
            <w:tcW w:w="360" w:type="dxa"/>
            <w:shd w:val="clear" w:color="auto" w:fill="F2F2F2"/>
          </w:tcPr>
          <w:p w:rsidR="00A77B3E">
            <w:pPr>
              <w:pStyle w:val="mqeng"/>
              <w:jc w:val="left"/>
            </w:pPr>
            <w:r>
              <w:rPr>
                <w:b/>
                <w:i w:val="0"/>
                <w:noProof/>
                <w:u w:val="none"/>
                <w:vertAlign w:val="baseline"/>
              </w:rPr>
              <w:t>Portfolio review</w:t>
            </w:r>
          </w:p>
        </w:tc>
        <w:tc>
          <w:tcPr>
            <w:tcW w:w="360" w:type="dxa"/>
            <w:shd w:val="clear" w:color="auto" w:fill="auto"/>
          </w:tcPr>
          <w:p w:rsidR="00A77B3E">
            <w:pPr>
              <w:pStyle w:val="mqger"/>
              <w:jc w:val="left"/>
            </w:pPr>
            <w:r>
              <w:rPr>
                <w:b/>
                <w:i w:val="0"/>
                <w:noProof w:val="0"/>
                <w:u w:val="none"/>
                <w:vertAlign w:val="baseline"/>
              </w:rPr>
              <w:t>Portfolio review</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w:t>
              <w:br/>
            </w:r>
            <w:r>
              <w:rPr>
                <w:noProof/>
                <w:sz w:val="2"/>
              </w:rPr>
              <w:t>82d43a1e-0d12-4379-bd5a-ff7ad163bf68</w:t>
            </w:r>
          </w:p>
        </w:tc>
        <w:tc>
          <w:tcPr>
            <w:tcW w:w="360" w:type="dxa"/>
            <w:shd w:val="clear" w:color="auto" w:fill="F2F2F2"/>
          </w:tcPr>
          <w:p w:rsidR="00A77B3E">
            <w:pPr>
              <w:pStyle w:val="mqeng"/>
              <w:jc w:val="left"/>
            </w:pPr>
            <w:r>
              <w:rPr>
                <w:noProof/>
              </w:rPr>
              <w:t>Security selection and sector allocation were the key drivers of this outperformance.</w:t>
            </w:r>
          </w:p>
        </w:tc>
        <w:tc>
          <w:tcPr>
            <w:tcW w:w="360" w:type="dxa"/>
            <w:shd w:val="clear" w:color="auto" w:fill="auto"/>
          </w:tcPr>
          <w:p w:rsidR="00A77B3E">
            <w:pPr>
              <w:pStyle w:val="mqger"/>
              <w:jc w:val="left"/>
            </w:pPr>
            <w:r>
              <w:rPr>
                <w:noProof w:val="0"/>
              </w:rPr>
              <w:t>Die Titelauswahl und Sektorallokation trugen am meisten zur überdurchschnittlichen Performance des Fonds bei.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(69%)</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w:t>
              <w:br/>
            </w:r>
            <w:r>
              <w:rPr>
                <w:noProof/>
                <w:sz w:val="2"/>
              </w:rPr>
              <w:t>6ce55a54-1940-409b-9a5d-21f6fbda7a3b</w:t>
            </w:r>
          </w:p>
        </w:tc>
        <w:tc>
          <w:tcPr>
            <w:tcW w:w="360" w:type="dxa"/>
            <w:shd w:val="clear" w:color="auto" w:fill="F2F2F2"/>
          </w:tcPr>
          <w:p w:rsidR="00A77B3E">
            <w:pPr>
              <w:pStyle w:val="mqeng"/>
              <w:jc w:val="left"/>
            </w:pPr>
            <w:r>
              <w:rPr>
                <w:noProof/>
              </w:rPr>
              <w:t>At the sector level, an underweight position in technology and electronics contributed strongly to performance, while an overweight position in health care was a mild detractor.</w:t>
            </w:r>
          </w:p>
        </w:tc>
        <w:tc>
          <w:tcPr>
            <w:tcW w:w="360" w:type="dxa"/>
            <w:shd w:val="clear" w:color="auto" w:fill="auto"/>
          </w:tcPr>
          <w:p w:rsidR="00A77B3E">
            <w:pPr>
              <w:pStyle w:val="mqger"/>
              <w:jc w:val="left"/>
            </w:pPr>
            <w:r>
              <w:rPr>
                <w:noProof w:val="0"/>
              </w:rPr>
              <w:t>Auf der Sektorebene leistete die Untergewichtung der Sektoren Technologie und Elektronik den größten Performancebeitrag, während die Übergewichtung des Gesundheitssektors leichte Verluste beisteuerte.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(66%)</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w:t>
              <w:br/>
            </w:r>
            <w:r>
              <w:rPr>
                <w:noProof/>
                <w:sz w:val="2"/>
              </w:rPr>
              <w:t>1347400a-d678-4331-8d9b-7338dfe182bb</w:t>
            </w:r>
          </w:p>
        </w:tc>
        <w:tc>
          <w:tcPr>
            <w:tcW w:w="360" w:type="dxa"/>
            <w:shd w:val="clear" w:color="auto" w:fill="F2F2F2"/>
          </w:tcPr>
          <w:p w:rsidR="00A77B3E">
            <w:pPr>
              <w:pStyle w:val="mqeng"/>
              <w:jc w:val="left"/>
            </w:pPr>
            <w:r>
              <w:rPr>
                <w:noProof/>
              </w:rPr>
              <w:t>The underweight position in real estate also detracted, as the sector was one of the best performing in January, but the fund benefited from good security selection here.</w:t>
            </w:r>
          </w:p>
        </w:tc>
        <w:tc>
          <w:tcPr>
            <w:tcW w:w="360" w:type="dxa"/>
            <w:shd w:val="clear" w:color="auto" w:fill="auto"/>
          </w:tcPr>
          <w:p w:rsidR="00A77B3E">
            <w:pPr>
              <w:pStyle w:val="mqger"/>
              <w:jc w:val="left"/>
            </w:pPr>
            <w:r>
              <w:rPr>
                <w:noProof w:val="0"/>
              </w:rPr>
              <w:t>Auch die Untergewichtung des Immobiliensektors, der im Januar zu den Spitzenreitern gehörte, wirkte sich ungünstig aus. Unser Fonds profitierte jedoch von der guten Titelauswahl.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w:t>
              <w:br/>
            </w:r>
            <w:r>
              <w:rPr>
                <w:noProof/>
                <w:sz w:val="2"/>
              </w:rPr>
              <w:t>b4e0cdd8-3f52-4ba8-a3a0-7bb527c3e325</w:t>
            </w:r>
          </w:p>
        </w:tc>
        <w:tc>
          <w:tcPr>
            <w:tcW w:w="360" w:type="dxa"/>
            <w:shd w:val="clear" w:color="auto" w:fill="F2F2F2"/>
          </w:tcPr>
          <w:p w:rsidR="00A77B3E">
            <w:pPr>
              <w:pStyle w:val="mqeng"/>
              <w:jc w:val="left"/>
            </w:pPr>
            <w:r>
              <w:rPr>
                <w:noProof/>
              </w:rPr>
              <w:t>Security selection in utilities and retail also added value, while security selection in capital goods and financial services hurt returns.</w:t>
            </w:r>
          </w:p>
        </w:tc>
        <w:tc>
          <w:tcPr>
            <w:tcW w:w="360" w:type="dxa"/>
            <w:shd w:val="clear" w:color="auto" w:fill="auto"/>
          </w:tcPr>
          <w:p w:rsidR="00A77B3E">
            <w:pPr>
              <w:pStyle w:val="mqger"/>
              <w:jc w:val="left"/>
            </w:pPr>
            <w:r>
              <w:rPr>
                <w:noProof w:val="0"/>
              </w:rPr>
              <w:t>In den Sektoren Versorger und Einzelhandel trug die Titelauswahl zur Performance bei, während sie bei Investitionsgütern und Finanzdienstleistern die Rendite schmälerte.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(68%)</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w:t>
              <w:br/>
            </w:r>
            <w:r>
              <w:rPr>
                <w:noProof/>
                <w:sz w:val="2"/>
              </w:rPr>
              <w:t>ae70cd1e-e78b-49c7-9072-b536740c49cb</w:t>
            </w:r>
          </w:p>
        </w:tc>
        <w:tc>
          <w:tcPr>
            <w:tcW w:w="360" w:type="dxa"/>
            <w:shd w:val="clear" w:color="auto" w:fill="F2F2F2"/>
          </w:tcPr>
          <w:p w:rsidR="00A77B3E">
            <w:pPr>
              <w:pStyle w:val="mqeng"/>
              <w:jc w:val="left"/>
            </w:pPr>
            <w:r>
              <w:rPr>
                <w:noProof/>
              </w:rPr>
              <w:t>At the issuer level, the fund's overweight positions in European REITs CPI Property and Aroundtown contributed strongly to returns.</w:t>
            </w:r>
          </w:p>
        </w:tc>
        <w:tc>
          <w:tcPr>
            <w:tcW w:w="360" w:type="dxa"/>
            <w:shd w:val="clear" w:color="auto" w:fill="auto"/>
          </w:tcPr>
          <w:p w:rsidR="00A77B3E">
            <w:pPr>
              <w:pStyle w:val="mqger"/>
              <w:jc w:val="left"/>
            </w:pPr>
            <w:r>
              <w:rPr>
                <w:noProof w:val="0"/>
              </w:rPr>
              <w:t>Auf der Einzeltitelebene resultierte aus der Übergewichtung der europäischen REITs CPI Property und Aroundtown ein starker Renditebeitrag.</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(67%)</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w:t>
              <w:br/>
            </w:r>
            <w:r>
              <w:rPr>
                <w:noProof/>
                <w:sz w:val="2"/>
              </w:rPr>
              <w:t>80b0a125-1d85-458e-9a50-85874d8e633f</w:t>
            </w:r>
          </w:p>
        </w:tc>
        <w:tc>
          <w:tcPr>
            <w:tcW w:w="360" w:type="dxa"/>
            <w:shd w:val="clear" w:color="auto" w:fill="F2F2F2"/>
          </w:tcPr>
          <w:p w:rsidR="00A77B3E">
            <w:pPr>
              <w:pStyle w:val="mqeng"/>
              <w:jc w:val="left"/>
            </w:pPr>
            <w:r>
              <w:rPr>
                <w:noProof/>
              </w:rPr>
              <w:t>Both issuers underperformed in 2023, as the high interest rate environment put pressure on their business models and in the case of CPI following December's news that Muddy Waters (the short-selling hedge fund) had bet against it.</w:t>
            </w:r>
          </w:p>
        </w:tc>
        <w:tc>
          <w:tcPr>
            <w:tcW w:w="360" w:type="dxa"/>
            <w:shd w:val="clear" w:color="auto" w:fill="auto"/>
          </w:tcPr>
          <w:p w:rsidR="00A77B3E">
            <w:pPr>
              <w:pStyle w:val="mqger"/>
              <w:jc w:val="left"/>
            </w:pPr>
            <w:r>
              <w:rPr>
                <w:noProof w:val="0"/>
              </w:rPr>
              <w:t>Für beide Emittenten fiel die Bilanz für das Jahr 2023 zwar schwach aus, da die hohen Zinsen ihre Geschäftsmodelle unter Druck setzten. Bei CPI kam hinzu, dass Muddy Waters, ein auf Leerverkäufe spezialisierter Hedgefonds, Medienberichten vom Dezember zufolge eine Short-Position auf CPI aufgesetzt hatte.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w:t>
              <w:br/>
            </w:r>
            <w:r>
              <w:rPr>
                <w:noProof/>
                <w:sz w:val="2"/>
              </w:rPr>
              <w:t>b1d0f4fa-02d1-4298-8b69-c916b8a7fd18</w:t>
            </w:r>
          </w:p>
        </w:tc>
        <w:tc>
          <w:tcPr>
            <w:tcW w:w="360" w:type="dxa"/>
            <w:shd w:val="clear" w:color="auto" w:fill="F2F2F2"/>
          </w:tcPr>
          <w:p w:rsidR="00A77B3E">
            <w:pPr>
              <w:pStyle w:val="mqeng"/>
              <w:jc w:val="left"/>
            </w:pPr>
            <w:r>
              <w:rPr>
                <w:noProof/>
              </w:rPr>
              <w:t>However, their bonds tightened significantly in January, alongside the broader REIT sector, as investor expectations for a cut in interest rates deepened.</w:t>
            </w:r>
          </w:p>
        </w:tc>
        <w:tc>
          <w:tcPr>
            <w:tcW w:w="360" w:type="dxa"/>
            <w:shd w:val="clear" w:color="auto" w:fill="auto"/>
          </w:tcPr>
          <w:p w:rsidR="00A77B3E">
            <w:pPr>
              <w:pStyle w:val="mqger"/>
              <w:jc w:val="left"/>
            </w:pPr>
            <w:r>
              <w:rPr>
                <w:noProof w:val="0"/>
              </w:rPr>
              <w:t>Ihre Anleihen zogen jedoch im Januar zusammen mit dem breiteren REIT-Sektor deutlich an, da immer mehr Anleger baldige Zinssenkungen einpreisten.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w:t>
              <w:br/>
            </w:r>
            <w:r>
              <w:rPr>
                <w:noProof/>
                <w:sz w:val="2"/>
              </w:rPr>
              <w:t>3461dace-054c-482b-b669-7db7177e83a0</w:t>
            </w:r>
          </w:p>
        </w:tc>
        <w:tc>
          <w:tcPr>
            <w:tcW w:w="360" w:type="dxa"/>
            <w:shd w:val="clear" w:color="auto" w:fill="F2F2F2"/>
          </w:tcPr>
          <w:p w:rsidR="00A77B3E">
            <w:pPr>
              <w:pStyle w:val="mqeng"/>
              <w:jc w:val="left"/>
            </w:pPr>
            <w:r>
              <w:rPr>
                <w:noProof/>
              </w:rPr>
              <w:t>Not holding France-based information technology company Atos contributed positively to relative returns, as spreads widened over the month.</w:t>
            </w:r>
          </w:p>
        </w:tc>
        <w:tc>
          <w:tcPr>
            <w:tcW w:w="360" w:type="dxa"/>
            <w:shd w:val="clear" w:color="auto" w:fill="auto"/>
          </w:tcPr>
          <w:p w:rsidR="00A77B3E">
            <w:pPr>
              <w:pStyle w:val="mqger"/>
              <w:jc w:val="left"/>
            </w:pPr>
            <w:r>
              <w:rPr>
                <w:noProof w:val="0"/>
              </w:rPr>
              <w:t>Das fehlende Engagement beim französischen IT-Unternehmen Atos kam der relativen Rendite zugute, weil sich die Spreads seiner Anleihen im Januar weiteten.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w:t>
              <w:br/>
            </w:r>
            <w:r>
              <w:rPr>
                <w:noProof/>
                <w:sz w:val="2"/>
              </w:rPr>
              <w:t>82aaa431-61da-4dbf-86ad-14e767aafff3</w:t>
            </w:r>
          </w:p>
        </w:tc>
        <w:tc>
          <w:tcPr>
            <w:tcW w:w="360" w:type="dxa"/>
            <w:shd w:val="clear" w:color="auto" w:fill="F2F2F2"/>
          </w:tcPr>
          <w:p w:rsidR="00A77B3E">
            <w:pPr>
              <w:pStyle w:val="mqeng"/>
              <w:jc w:val="left"/>
            </w:pPr>
            <w:r>
              <w:rPr>
                <w:noProof/>
              </w:rPr>
              <w:t>The company's bonds have been volatile recently, with investors questioning its ability to refinance its debt.</w:t>
            </w:r>
          </w:p>
        </w:tc>
        <w:tc>
          <w:tcPr>
            <w:tcW w:w="360" w:type="dxa"/>
            <w:shd w:val="clear" w:color="auto" w:fill="auto"/>
          </w:tcPr>
          <w:p w:rsidR="00A77B3E">
            <w:pPr>
              <w:pStyle w:val="mqger"/>
              <w:jc w:val="left"/>
            </w:pPr>
            <w:r>
              <w:rPr>
                <w:noProof w:val="0"/>
              </w:rPr>
              <w:t>Die Anleihen des Unternehmens waren zuletzt sehr volatil, da Anleger seine Fähigkeit zur Refinanzierung in Zweifel zogen.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w:t>
              <w:br/>
            </w:r>
            <w:r>
              <w:rPr>
                <w:noProof/>
                <w:sz w:val="2"/>
              </w:rPr>
              <w:t>120d61be-e113-44bf-8651-afcfaf6540db</w:t>
            </w:r>
          </w:p>
        </w:tc>
        <w:tc>
          <w:tcPr>
            <w:tcW w:w="360" w:type="dxa"/>
            <w:shd w:val="clear" w:color="auto" w:fill="F2F2F2"/>
          </w:tcPr>
          <w:p w:rsidR="00A77B3E">
            <w:pPr>
              <w:pStyle w:val="mqeng"/>
              <w:jc w:val="left"/>
            </w:pPr>
            <w:r>
              <w:rPr>
                <w:noProof/>
              </w:rPr>
              <w:t>An overweight position in automotive services company RAC also contributed to performance, despite the sector widening in January.</w:t>
            </w:r>
          </w:p>
        </w:tc>
        <w:tc>
          <w:tcPr>
            <w:tcW w:w="360" w:type="dxa"/>
            <w:shd w:val="clear" w:color="auto" w:fill="auto"/>
          </w:tcPr>
          <w:p w:rsidR="00A77B3E">
            <w:pPr>
              <w:pStyle w:val="mqger"/>
              <w:jc w:val="left"/>
            </w:pPr>
            <w:r>
              <w:rPr>
                <w:noProof w:val="0"/>
              </w:rPr>
              <w:t>Die Übergewichtung beim Automobilzulieferer RAC zahlte sich ebenfalls aus, obwohl sich im Januar die Spreads im Sektor als Ganzes weiteten.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w:t>
              <w:br/>
            </w:r>
            <w:r>
              <w:rPr>
                <w:noProof/>
                <w:sz w:val="2"/>
              </w:rPr>
              <w:t>804fb317-1c9c-4ac3-8f61-e22e3106a818</w:t>
            </w:r>
          </w:p>
        </w:tc>
        <w:tc>
          <w:tcPr>
            <w:tcW w:w="360" w:type="dxa"/>
            <w:shd w:val="clear" w:color="auto" w:fill="F2F2F2"/>
          </w:tcPr>
          <w:p w:rsidR="00A77B3E">
            <w:pPr>
              <w:pStyle w:val="mqeng"/>
              <w:jc w:val="left"/>
            </w:pPr>
            <w:r>
              <w:rPr>
                <w:noProof/>
              </w:rPr>
              <w:t>Conversely, not holding some European real estate names that rallied during the month detracted from returns, including Heimstaden Bostad and Heimstaden.</w:t>
            </w:r>
          </w:p>
        </w:tc>
        <w:tc>
          <w:tcPr>
            <w:tcW w:w="360" w:type="dxa"/>
            <w:shd w:val="clear" w:color="auto" w:fill="auto"/>
          </w:tcPr>
          <w:p w:rsidR="00A77B3E">
            <w:pPr>
              <w:pStyle w:val="mqger"/>
              <w:jc w:val="left"/>
            </w:pPr>
            <w:r>
              <w:rPr>
                <w:noProof w:val="0"/>
              </w:rPr>
              <w:t>Geschmälert wurde die Wertentwicklung vom fehlenden Engagement bei einigen europäischen Immobilienwerten, die im Januar kräftig anzogen. Dazu gehörten Heimstaden Bostad und Heimstaden.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w:t>
              <w:br/>
            </w:r>
            <w:r>
              <w:rPr>
                <w:noProof/>
                <w:sz w:val="2"/>
              </w:rPr>
              <w:t>ae3023fd-2eaa-4ef7-9bbc-35624e556f10</w:t>
            </w:r>
          </w:p>
        </w:tc>
        <w:tc>
          <w:tcPr>
            <w:tcW w:w="360" w:type="dxa"/>
            <w:shd w:val="clear" w:color="auto" w:fill="F2F2F2"/>
          </w:tcPr>
          <w:p w:rsidR="00A77B3E">
            <w:pPr>
              <w:pStyle w:val="mqeng"/>
              <w:jc w:val="left"/>
            </w:pPr>
            <w:r>
              <w:rPr>
                <w:noProof/>
              </w:rPr>
              <w:t>Glass packaging company Ardagh Metal Packaging, Spanish pharmaceutical Grifols and global health care company Organon also hurt returns.</w:t>
            </w:r>
          </w:p>
        </w:tc>
        <w:tc>
          <w:tcPr>
            <w:tcW w:w="360" w:type="dxa"/>
            <w:shd w:val="clear" w:color="auto" w:fill="auto"/>
          </w:tcPr>
          <w:p w:rsidR="00A77B3E">
            <w:pPr>
              <w:pStyle w:val="mqger"/>
              <w:jc w:val="left"/>
            </w:pPr>
            <w:r>
              <w:rPr>
                <w:noProof w:val="0"/>
              </w:rPr>
              <w:t>Auch der Hersteller von Glasverpackungen Ardagh Metal Packaging, der spanische Pharmakonzern Grifols und das internationale Gesundheitsunternehmen Organon wirkten sich ungünstig auf die Rendite aus.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w:t>
              <w:br/>
            </w:r>
            <w:r>
              <w:rPr>
                <w:noProof/>
                <w:sz w:val="2"/>
              </w:rPr>
              <w:t>f4e1bb30-3292-4a21-83ea-70e9cb55d3f2</w:t>
            </w:r>
          </w:p>
        </w:tc>
        <w:tc>
          <w:tcPr>
            <w:tcW w:w="360" w:type="dxa"/>
            <w:shd w:val="clear" w:color="auto" w:fill="F2F2F2"/>
          </w:tcPr>
          <w:p w:rsidR="00A77B3E">
            <w:pPr>
              <w:pStyle w:val="mqeng"/>
              <w:jc w:val="left"/>
            </w:pPr>
            <w:r>
              <w:rPr>
                <w:noProof/>
              </w:rPr>
              <w:t>In terms of positioning, we reduced the fund's overweight position in telecommunications by taking profits on some top performing issuers, and added exposure in the REIT space, which we think should benefit as central banks begin to loosen monetary policy.</w:t>
            </w:r>
          </w:p>
        </w:tc>
        <w:tc>
          <w:tcPr>
            <w:tcW w:w="360" w:type="dxa"/>
            <w:shd w:val="clear" w:color="auto" w:fill="auto"/>
          </w:tcPr>
          <w:p w:rsidR="00A77B3E">
            <w:pPr>
              <w:pStyle w:val="mqger"/>
              <w:jc w:val="left"/>
            </w:pPr>
            <w:r>
              <w:rPr>
                <w:noProof w:val="0"/>
              </w:rPr>
              <w:t>Im Januar verringerten wir die Übergewichtung des Fonds im Telekommunikationssektor durch Gewinnmitnahmen bei einigen Emittenten mit der besten Performance. Verstärkt wurde das Engagement bei REITs, die unserer Meinung nach davon profitieren werden, wenn die Zentralbanken die Zinszügel lockern.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w:t>
              <w:br/>
            </w:r>
            <w:r>
              <w:rPr>
                <w:noProof/>
                <w:sz w:val="2"/>
              </w:rPr>
              <w:t>87aeddef-0402-4d32-8464-239c4f7fa28d</w:t>
            </w:r>
          </w:p>
        </w:tc>
        <w:tc>
          <w:tcPr>
            <w:tcW w:w="360" w:type="dxa"/>
            <w:shd w:val="clear" w:color="auto" w:fill="F2F2F2"/>
          </w:tcPr>
          <w:p w:rsidR="00A77B3E">
            <w:pPr>
              <w:pStyle w:val="mqeng"/>
              <w:jc w:val="left"/>
            </w:pPr>
            <w:r>
              <w:rPr>
                <w:b/>
                <w:i w:val="0"/>
                <w:noProof/>
                <w:u w:val="none"/>
                <w:vertAlign w:val="baseline"/>
              </w:rPr>
              <w:t>Contributors/detractors</w:t>
            </w:r>
          </w:p>
        </w:tc>
        <w:tc>
          <w:tcPr>
            <w:tcW w:w="360" w:type="dxa"/>
            <w:shd w:val="clear" w:color="auto" w:fill="auto"/>
          </w:tcPr>
          <w:p w:rsidR="00A77B3E">
            <w:pPr>
              <w:pStyle w:val="mqger"/>
              <w:jc w:val="left"/>
            </w:pPr>
            <w:r>
              <w:rPr>
                <w:b/>
                <w:i w:val="0"/>
                <w:noProof w:val="0"/>
                <w:u w:val="none"/>
                <w:vertAlign w:val="baseline"/>
              </w:rPr>
              <w:t>Contributors/detractors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w:t>
              <w:br/>
            </w:r>
            <w:r>
              <w:rPr>
                <w:noProof/>
                <w:sz w:val="2"/>
              </w:rPr>
              <w:t>ffece6ff-e436-4aff-b8cf-9308f58e8e12</w:t>
            </w:r>
          </w:p>
        </w:tc>
        <w:tc>
          <w:tcPr>
            <w:tcW w:w="360" w:type="dxa"/>
            <w:shd w:val="clear" w:color="auto" w:fill="F2F2F2"/>
          </w:tcPr>
          <w:p w:rsidR="00A77B3E">
            <w:pPr>
              <w:pStyle w:val="mqeng"/>
              <w:jc w:val="left"/>
            </w:pPr>
            <w:r>
              <w:rPr>
                <w:noProof/>
              </w:rPr>
              <w:t>Security selection and sector allocation were the key drivers of the fund's outperformance.</w:t>
            </w:r>
          </w:p>
        </w:tc>
        <w:tc>
          <w:tcPr>
            <w:tcW w:w="360" w:type="dxa"/>
            <w:shd w:val="clear" w:color="auto" w:fill="auto"/>
          </w:tcPr>
          <w:p w:rsidR="00A77B3E">
            <w:pPr>
              <w:pStyle w:val="mqger"/>
              <w:jc w:val="left"/>
            </w:pPr>
            <w:r>
              <w:rPr>
                <w:noProof w:val="0"/>
              </w:rPr>
              <w:t>Die Titelauswahl und Sektorallokation trugen am meisten zur überdurchschnittlichen Performance des Fonds bei.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(79%)</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w:t>
              <w:br/>
            </w:r>
            <w:r>
              <w:rPr>
                <w:noProof/>
                <w:sz w:val="2"/>
              </w:rPr>
              <w:t>1065e74c-d4a6-4e3d-8741-261911c9ef56</w:t>
            </w:r>
          </w:p>
        </w:tc>
        <w:tc>
          <w:tcPr>
            <w:tcW w:w="360" w:type="dxa"/>
            <w:shd w:val="clear" w:color="auto" w:fill="F2F2F2"/>
          </w:tcPr>
          <w:p w:rsidR="00A77B3E">
            <w:pPr>
              <w:pStyle w:val="mqeng"/>
              <w:jc w:val="left"/>
            </w:pPr>
            <w:r>
              <w:rPr>
                <w:b/>
                <w:i w:val="0"/>
                <w:noProof/>
                <w:u w:val="none"/>
                <w:vertAlign w:val="baseline"/>
              </w:rPr>
              <w:t>Outlook</w:t>
            </w:r>
          </w:p>
        </w:tc>
        <w:tc>
          <w:tcPr>
            <w:tcW w:w="360" w:type="dxa"/>
            <w:shd w:val="clear" w:color="auto" w:fill="auto"/>
          </w:tcPr>
          <w:p w:rsidR="00A77B3E">
            <w:pPr>
              <w:pStyle w:val="mqger"/>
              <w:jc w:val="left"/>
            </w:pPr>
            <w:r>
              <w:rPr>
                <w:b/>
                <w:i w:val="0"/>
                <w:noProof w:val="0"/>
                <w:u w:val="none"/>
                <w:vertAlign w:val="baseline"/>
              </w:rPr>
              <w:t>Outlook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w:t>
              <w:br/>
            </w:r>
            <w:r>
              <w:rPr>
                <w:noProof/>
                <w:sz w:val="2"/>
              </w:rPr>
              <w:t>3efcae70-3f8b-4151-a648-f08a5c9ca9ef</w:t>
            </w:r>
          </w:p>
        </w:tc>
        <w:tc>
          <w:tcPr>
            <w:tcW w:w="360" w:type="dxa"/>
            <w:shd w:val="clear" w:color="auto" w:fill="F2F2F2"/>
          </w:tcPr>
          <w:p w:rsidR="00A77B3E">
            <w:pPr>
              <w:pStyle w:val="mqeng"/>
              <w:jc w:val="left"/>
            </w:pPr>
            <w:r>
              <w:rPr>
                <w:noProof/>
              </w:rPr>
              <w:t>Given the binary outlook, we remain cautious about adding risk and remain focused on selecting companies with strong fundamentals and what we see as attractive valuations.</w:t>
            </w:r>
          </w:p>
        </w:tc>
        <w:tc>
          <w:tcPr>
            <w:tcW w:w="360" w:type="dxa"/>
            <w:shd w:val="clear" w:color="auto" w:fill="auto"/>
          </w:tcPr>
          <w:p w:rsidR="00A77B3E">
            <w:pPr>
              <w:pStyle w:val="mqger"/>
              <w:jc w:val="left"/>
            </w:pPr>
            <w:r>
              <w:rPr>
                <w:noProof w:val="0"/>
              </w:rPr>
              <w:t>Angesichts des unsicheren Ausblicks bleiben wir vorsichtig beim Eingehen von Risiken und konzentrieren uns weiter auf Unternehmen mit starken Fundamentaldaten und unserer Meinung nach attraktiven Bewertungen.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w:t>
              <w:br/>
            </w:r>
            <w:r>
              <w:rPr>
                <w:noProof/>
                <w:sz w:val="2"/>
              </w:rPr>
              <w:t>9969d612-8e96-488a-8210-2d43aad4d67c</w:t>
            </w:r>
          </w:p>
        </w:tc>
        <w:tc>
          <w:tcPr>
            <w:tcW w:w="360" w:type="dxa"/>
            <w:shd w:val="clear" w:color="auto" w:fill="F2F2F2"/>
          </w:tcPr>
          <w:p w:rsidR="00A77B3E">
            <w:pPr>
              <w:pStyle w:val="mqeng"/>
              <w:jc w:val="left"/>
            </w:pPr>
            <w:r>
              <w:rPr>
                <w:b/>
                <w:i w:val="0"/>
                <w:noProof/>
                <w:u w:val="none"/>
                <w:vertAlign w:val="baseline"/>
              </w:rPr>
              <w:t>Manager outlook</w:t>
            </w:r>
          </w:p>
        </w:tc>
        <w:tc>
          <w:tcPr>
            <w:tcW w:w="360" w:type="dxa"/>
            <w:shd w:val="clear" w:color="auto" w:fill="auto"/>
          </w:tcPr>
          <w:p w:rsidR="00A77B3E">
            <w:pPr>
              <w:pStyle w:val="mqger"/>
              <w:jc w:val="left"/>
            </w:pPr>
            <w:r>
              <w:rPr>
                <w:b/>
                <w:i w:val="0"/>
                <w:noProof w:val="0"/>
                <w:u w:val="none"/>
                <w:vertAlign w:val="baseline"/>
              </w:rPr>
              <w:t>Manager outlook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w:t>
              <w:br/>
            </w:r>
            <w:r>
              <w:rPr>
                <w:noProof/>
                <w:sz w:val="2"/>
              </w:rPr>
              <w:t>561ffa32-d804-4552-8a2d-17c1270ecced</w:t>
            </w:r>
          </w:p>
        </w:tc>
        <w:tc>
          <w:tcPr>
            <w:tcW w:w="360" w:type="dxa"/>
            <w:shd w:val="clear" w:color="auto" w:fill="F2F2F2"/>
          </w:tcPr>
          <w:p w:rsidR="00A77B3E">
            <w:pPr>
              <w:pStyle w:val="mqeng"/>
              <w:jc w:val="left"/>
            </w:pPr>
            <w:r>
              <w:rPr>
                <w:noProof/>
              </w:rPr>
              <w:t>We maintained the fund's small overweight position to credit spread risk relative to the index.</w:t>
            </w:r>
          </w:p>
        </w:tc>
        <w:tc>
          <w:tcPr>
            <w:tcW w:w="360" w:type="dxa"/>
            <w:shd w:val="clear" w:color="auto" w:fill="auto"/>
          </w:tcPr>
          <w:p w:rsidR="00A77B3E">
            <w:pPr>
              <w:pStyle w:val="mqger"/>
              <w:jc w:val="left"/>
            </w:pPr>
            <w:r>
              <w:rPr>
                <w:noProof w:val="0"/>
              </w:rPr>
              <w:t>Wir behielten die leichte Übergewichtung des Fonds von Unternehmensanleihen im Vergleich zum Referenzindex bei.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(79%)</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w:t>
              <w:br/>
            </w:r>
            <w:r>
              <w:rPr>
                <w:noProof/>
                <w:sz w:val="2"/>
              </w:rPr>
              <w:t>2446318a-617a-492d-9a06-4d4457152539</w:t>
            </w:r>
          </w:p>
        </w:tc>
        <w:tc>
          <w:tcPr>
            <w:tcW w:w="360" w:type="dxa"/>
            <w:shd w:val="clear" w:color="auto" w:fill="F2F2F2"/>
          </w:tcPr>
          <w:p w:rsidR="00A77B3E">
            <w:pPr>
              <w:pStyle w:val="mqeng"/>
              <w:jc w:val="left"/>
            </w:pPr>
            <w:r>
              <w:rPr>
                <w:noProof/>
              </w:rPr>
              <w:t>Markets reacted swiftly to the prospect of a later start to the Fed's rate-cutting cycle and although this does not change our outlook for the year, it highlights the rates volatility we can expect as investors adjust expectations.</w:t>
            </w:r>
          </w:p>
        </w:tc>
        <w:tc>
          <w:tcPr>
            <w:tcW w:w="360" w:type="dxa"/>
            <w:shd w:val="clear" w:color="auto" w:fill="auto"/>
          </w:tcPr>
          <w:p w:rsidR="00A77B3E">
            <w:pPr>
              <w:pStyle w:val="mqger"/>
              <w:jc w:val="left"/>
            </w:pPr>
            <w:r>
              <w:rPr>
                <w:noProof w:val="0"/>
              </w:rPr>
              <w:t>Die Märkte reagierten rasch auf den möglicherweise späteren Beginn des Lockerungszyklus der Fed. Dies ändert zwar nichts an unserem Ausblick für 2024, verdeutlicht aber, mit welcher Volatilität an den Zinsmärkten zu rechnen ist, wenn Anleger ihre Erwartungen anpassen.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w:t>
              <w:br/>
            </w:r>
            <w:r>
              <w:rPr>
                <w:noProof/>
                <w:sz w:val="2"/>
              </w:rPr>
              <w:t>05f03f13-d79f-4d81-af9b-e1c31d3aab4f</w:t>
            </w:r>
          </w:p>
        </w:tc>
        <w:tc>
          <w:tcPr>
            <w:tcW w:w="360" w:type="dxa"/>
            <w:shd w:val="clear" w:color="auto" w:fill="F2F2F2"/>
          </w:tcPr>
          <w:p w:rsidR="00A77B3E">
            <w:pPr>
              <w:pStyle w:val="mqeng"/>
              <w:jc w:val="left"/>
            </w:pPr>
            <w:r>
              <w:rPr>
                <w:noProof/>
              </w:rPr>
              <w:t>We expect this volatility to spill over into high yield spreads and see two potential scenarios playing out: a near-term spread bear market caused by anything that reignites inflationary concerns, or a temporary re-acceleration of growth that leads to central banks pushing back rate cuts.</w:t>
            </w:r>
          </w:p>
        </w:tc>
        <w:tc>
          <w:tcPr>
            <w:tcW w:w="360" w:type="dxa"/>
            <w:shd w:val="clear" w:color="auto" w:fill="auto"/>
          </w:tcPr>
          <w:p w:rsidR="00A77B3E">
            <w:pPr>
              <w:pStyle w:val="mqger"/>
              <w:jc w:val="left"/>
            </w:pPr>
            <w:r>
              <w:rPr>
                <w:noProof w:val="0"/>
              </w:rPr>
              <w:t>Diese Volatilität dürfte sich auch auf die Spreads von Hochzinsanleihen auswirken. Wir sehen zwei mögliche Szenarien: einen kurzfristigen Bärenmarkt, ausgelöst von allem, was die Inflationssorgen wieder aufflammen lässt, oder eine vorübergehende Wachstumsbeschleunigung, die die Zentralbanken dazu veranlasst, mit Zinssenkungen noch zu warten.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w:t>
              <w:br/>
            </w:r>
            <w:r>
              <w:rPr>
                <w:noProof/>
                <w:sz w:val="2"/>
              </w:rPr>
              <w:t>70e852a8-7ef6-4197-8303-dc54bb6f2baf</w:t>
            </w:r>
          </w:p>
        </w:tc>
        <w:tc>
          <w:tcPr>
            <w:tcW w:w="360" w:type="dxa"/>
            <w:shd w:val="clear" w:color="auto" w:fill="F2F2F2"/>
          </w:tcPr>
          <w:p w:rsidR="00A77B3E">
            <w:pPr>
              <w:pStyle w:val="mqeng"/>
              <w:jc w:val="left"/>
            </w:pPr>
            <w:r>
              <w:rPr>
                <w:noProof/>
              </w:rPr>
              <w:t>A steady spread bull market could happen if it becomes clear that inflation is firmly defeated.</w:t>
            </w:r>
          </w:p>
        </w:tc>
        <w:tc>
          <w:tcPr>
            <w:tcW w:w="360" w:type="dxa"/>
            <w:shd w:val="clear" w:color="auto" w:fill="auto"/>
          </w:tcPr>
          <w:p w:rsidR="00A77B3E">
            <w:pPr>
              <w:pStyle w:val="mqger"/>
              <w:jc w:val="left"/>
            </w:pPr>
            <w:r>
              <w:rPr>
                <w:noProof w:val="0"/>
              </w:rPr>
              <w:t>Sollte sich abzeichnen, dass die Inflation unter Kontrolle ist, könnte das die Weichen für einen Bullenmarkt stellen.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w:t>
              <w:br/>
            </w:r>
            <w:r>
              <w:rPr>
                <w:noProof/>
                <w:sz w:val="2"/>
              </w:rPr>
              <w:t>49776342-a435-4d63-ad9c-a147ef9852f2</w:t>
            </w:r>
          </w:p>
        </w:tc>
        <w:tc>
          <w:tcPr>
            <w:tcW w:w="360" w:type="dxa"/>
            <w:shd w:val="clear" w:color="auto" w:fill="F2F2F2"/>
          </w:tcPr>
          <w:p w:rsidR="00A77B3E">
            <w:pPr>
              <w:pStyle w:val="mqeng"/>
              <w:jc w:val="left"/>
            </w:pPr>
            <w:r>
              <w:rPr>
                <w:noProof/>
              </w:rPr>
              <w:t>Central banks embark on rate cuts to prevent real rates becoming too restrictive, which benefits spread assets.</w:t>
            </w:r>
          </w:p>
        </w:tc>
        <w:tc>
          <w:tcPr>
            <w:tcW w:w="360" w:type="dxa"/>
            <w:shd w:val="clear" w:color="auto" w:fill="auto"/>
          </w:tcPr>
          <w:p w:rsidR="00A77B3E">
            <w:pPr>
              <w:pStyle w:val="mqger"/>
              <w:jc w:val="left"/>
            </w:pPr>
            <w:r>
              <w:rPr>
                <w:noProof w:val="0"/>
              </w:rPr>
              <w:t>In einem solchen Umfeld würden die Zentralbanken damit beginnen, die Zinsen zu senken, damit die Realzinsen nicht zu restriktiv werden, was wiederum Spread-Produkten zugutekäme.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w:t>
              <w:br/>
            </w:r>
            <w:r>
              <w:rPr>
                <w:noProof/>
                <w:sz w:val="2"/>
              </w:rPr>
              <w:t>380628c4-fffa-4210-83d4-64e1d248947e</w:t>
            </w:r>
          </w:p>
        </w:tc>
        <w:tc>
          <w:tcPr>
            <w:tcW w:w="360" w:type="dxa"/>
            <w:shd w:val="clear" w:color="auto" w:fill="F2F2F2"/>
          </w:tcPr>
          <w:p w:rsidR="00A77B3E">
            <w:pPr>
              <w:pStyle w:val="mqeng"/>
              <w:jc w:val="left"/>
            </w:pPr>
            <w:r>
              <w:rPr>
                <w:noProof/>
              </w:rPr>
              <w:t>Given the binary outlook, we remain cautious about adding risk and remain focus on selecting companies with strong fundamentals and what we consider to be attractive valuations.</w:t>
            </w:r>
          </w:p>
        </w:tc>
        <w:tc>
          <w:tcPr>
            <w:tcW w:w="360" w:type="dxa"/>
            <w:shd w:val="clear" w:color="auto" w:fill="auto"/>
          </w:tcPr>
          <w:p w:rsidR="00A77B3E">
            <w:pPr>
              <w:pStyle w:val="mqger"/>
              <w:jc w:val="left"/>
            </w:pPr>
            <w:r>
              <w:rPr>
                <w:noProof w:val="0"/>
              </w:rPr>
              <w:t>Angesichts dieses unsicheren Ausblicks bleiben wir vorsichtig bei der Übernahme von Risiken und konzentrieren uns weiterhin auf Unternehmen mit starken Fundamentaldaten und nach unserer Einschätzung attraktiven Bewertungen.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w:t>
              <w:br/>
            </w:r>
            <w:r>
              <w:rPr>
                <w:noProof/>
                <w:sz w:val="2"/>
              </w:rPr>
              <w:t>3afd4991-24dc-4139-b03a-ea65f591a684</w:t>
            </w:r>
          </w:p>
        </w:tc>
        <w:tc>
          <w:tcPr>
            <w:tcW w:w="360" w:type="dxa"/>
            <w:shd w:val="clear" w:color="auto" w:fill="F2F2F2"/>
          </w:tcPr>
          <w:p w:rsidR="00A77B3E">
            <w:pPr>
              <w:pStyle w:val="mqeng"/>
              <w:jc w:val="left"/>
            </w:pPr>
            <w:r>
              <w:rPr>
                <w:noProof/>
              </w:rPr>
              <w:t>Despite the increase in supply we saw in January, demand remained strong.</w:t>
            </w:r>
          </w:p>
        </w:tc>
        <w:tc>
          <w:tcPr>
            <w:tcW w:w="360" w:type="dxa"/>
            <w:shd w:val="clear" w:color="auto" w:fill="auto"/>
          </w:tcPr>
          <w:p w:rsidR="00A77B3E">
            <w:pPr>
              <w:pStyle w:val="mqger"/>
              <w:jc w:val="left"/>
            </w:pPr>
            <w:r>
              <w:rPr>
                <w:noProof w:val="0"/>
              </w:rPr>
              <w:t>Mit dem im Januar gestiegenen Angebot hielt die Nachfrage Schritt, die unvermindert stark ausfiel.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w:t>
              <w:br/>
            </w:r>
            <w:r>
              <w:rPr>
                <w:noProof/>
                <w:sz w:val="2"/>
              </w:rPr>
              <w:t>6c949eeb-0c40-4eef-a059-9a48f52000a2</w:t>
            </w:r>
          </w:p>
        </w:tc>
        <w:tc>
          <w:tcPr>
            <w:tcW w:w="360" w:type="dxa"/>
            <w:shd w:val="clear" w:color="auto" w:fill="F2F2F2"/>
          </w:tcPr>
          <w:p w:rsidR="00A77B3E">
            <w:pPr>
              <w:pStyle w:val="mqeng"/>
              <w:jc w:val="left"/>
            </w:pPr>
            <w:r>
              <w:rPr>
                <w:noProof/>
              </w:rPr>
              <w:t>This continues to be a positive technical for the asset class.</w:t>
            </w:r>
          </w:p>
        </w:tc>
        <w:tc>
          <w:tcPr>
            <w:tcW w:w="360" w:type="dxa"/>
            <w:shd w:val="clear" w:color="auto" w:fill="auto"/>
          </w:tcPr>
          <w:p w:rsidR="00A77B3E">
            <w:pPr>
              <w:pStyle w:val="mqger"/>
              <w:jc w:val="left"/>
            </w:pPr>
            <w:r>
              <w:rPr>
                <w:noProof w:val="0"/>
              </w:rPr>
              <w:t>Für die Anlageklasse bleibt dies ein positiver markttechnischer Faktor.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(67%)</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w:t>
              <w:br/>
            </w:r>
            <w:r>
              <w:rPr>
                <w:noProof/>
                <w:sz w:val="2"/>
              </w:rPr>
              <w:t>6743e7dc-80e6-450b-8ed7-34e57215bbe9</w:t>
            </w:r>
          </w:p>
        </w:tc>
        <w:tc>
          <w:tcPr>
            <w:tcW w:w="360" w:type="dxa"/>
            <w:shd w:val="clear" w:color="auto" w:fill="F2F2F2"/>
          </w:tcPr>
          <w:p w:rsidR="00A77B3E">
            <w:pPr>
              <w:pStyle w:val="mqeng"/>
              <w:jc w:val="left"/>
            </w:pPr>
            <w:r>
              <w:rPr>
                <w:noProof/>
              </w:rPr>
              <w:t>However, as we navigate interest rate cuts expectations and an approaching maturity wall, we remain cautious on the companies with increasing leverage and lower interest rate coverage ratios but positive on companies that continue to have reasonably good interest cover ratios and strong free cash flow measures.</w:t>
            </w:r>
          </w:p>
        </w:tc>
        <w:tc>
          <w:tcPr>
            <w:tcW w:w="360" w:type="dxa"/>
            <w:shd w:val="clear" w:color="auto" w:fill="auto"/>
          </w:tcPr>
          <w:p w:rsidR="00A77B3E">
            <w:pPr>
              <w:pStyle w:val="mqger"/>
              <w:jc w:val="left"/>
            </w:pPr>
            <w:r>
              <w:rPr>
                <w:noProof w:val="0"/>
              </w:rPr>
              <w:t>Wegen der Zinssenkungserwartungen und der näher rückenden Fälligkeitsmauer bleiben wir jedoch gegenüber Unternehmen mit zunehmender Verschuldung und niedrigerer Zinsdeckungsquote zurückhaltend, während wir solche mit nach wie vor relativ guter Quote und starkem freien Cashflow attraktiv finden.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w:t>
              <w:br/>
            </w:r>
            <w:r>
              <w:rPr>
                <w:noProof/>
                <w:sz w:val="2"/>
              </w:rPr>
              <w:t>7e9f3447-f934-46e8-8ef6-ae033eef60af</w:t>
            </w:r>
          </w:p>
        </w:tc>
        <w:tc>
          <w:tcPr>
            <w:tcW w:w="360" w:type="dxa"/>
            <w:shd w:val="clear" w:color="auto" w:fill="F2F2F2"/>
          </w:tcPr>
          <w:p w:rsidR="00A77B3E">
            <w:pPr>
              <w:pStyle w:val="mqeng"/>
              <w:jc w:val="left"/>
            </w:pPr>
            <w:r>
              <w:rPr>
                <w:noProof/>
              </w:rPr>
              <w:t>The deterioration in credit ratios is mild.</w:t>
            </w:r>
          </w:p>
        </w:tc>
        <w:tc>
          <w:tcPr>
            <w:tcW w:w="360" w:type="dxa"/>
            <w:shd w:val="clear" w:color="auto" w:fill="auto"/>
          </w:tcPr>
          <w:p w:rsidR="00A77B3E">
            <w:pPr>
              <w:pStyle w:val="mqger"/>
              <w:jc w:val="left"/>
            </w:pPr>
            <w:r>
              <w:rPr>
                <w:noProof w:val="0"/>
              </w:rPr>
              <w:t>Die Kreditkennzahlen haben sich unterdessen kaum verschlechtert.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w:t>
              <w:br/>
            </w:r>
            <w:r>
              <w:rPr>
                <w:noProof/>
                <w:sz w:val="2"/>
              </w:rPr>
              <w:t>6517399c-fde7-4f72-a72f-c074e8143902</w:t>
            </w:r>
          </w:p>
        </w:tc>
        <w:tc>
          <w:tcPr>
            <w:tcW w:w="360" w:type="dxa"/>
            <w:shd w:val="clear" w:color="auto" w:fill="F2F2F2"/>
          </w:tcPr>
          <w:p w:rsidR="00A77B3E">
            <w:pPr>
              <w:pStyle w:val="mqeng"/>
              <w:jc w:val="left"/>
            </w:pPr>
            <w:r>
              <w:rPr>
                <w:noProof/>
              </w:rPr>
              <w:t>However, we think default rates are likely to peak at relatively low levels, with a slightly higher default rate in the US given it has a lower-quality high yield bond market than Europe.</w:t>
            </w:r>
          </w:p>
        </w:tc>
        <w:tc>
          <w:tcPr>
            <w:tcW w:w="360" w:type="dxa"/>
            <w:shd w:val="clear" w:color="auto" w:fill="auto"/>
          </w:tcPr>
          <w:p w:rsidR="00A77B3E">
            <w:pPr>
              <w:pStyle w:val="mqger"/>
              <w:jc w:val="left"/>
            </w:pPr>
            <w:r>
              <w:rPr>
                <w:noProof w:val="0"/>
              </w:rPr>
              <w:t>Wir erwarten jedoch, dass die Ausfallraten ihren Höchststand auf relativ niedrigem Niveau erreichen werden. Dabei dürften sie in den USA etwas höher ausfallen, da US-Hochzinsanleihen eine geringere Bonität aufweisen als ihre Pendants in Europa.</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w:t>
              <w:br/>
            </w:r>
            <w:r>
              <w:rPr>
                <w:noProof/>
                <w:sz w:val="2"/>
              </w:rPr>
              <w:t>ef5d3ec2-f745-4abf-8747-d4acadc556ff</w:t>
            </w:r>
          </w:p>
        </w:tc>
        <w:tc>
          <w:tcPr>
            <w:tcW w:w="360" w:type="dxa"/>
            <w:shd w:val="clear" w:color="auto" w:fill="F2F2F2"/>
          </w:tcPr>
          <w:p w:rsidR="00A77B3E">
            <w:pPr>
              <w:pStyle w:val="mqeng"/>
              <w:jc w:val="left"/>
            </w:pPr>
            <w:r>
              <w:rPr>
                <w:noProof/>
              </w:rPr>
              <w:t>Distress is concentrated in the real estate, telecommunications, media and pharmaceutical sectors.</w:t>
            </w:r>
          </w:p>
        </w:tc>
        <w:tc>
          <w:tcPr>
            <w:tcW w:w="360" w:type="dxa"/>
            <w:shd w:val="clear" w:color="auto" w:fill="auto"/>
          </w:tcPr>
          <w:p w:rsidR="00A77B3E">
            <w:pPr>
              <w:pStyle w:val="mqger"/>
              <w:jc w:val="left"/>
            </w:pPr>
            <w:r>
              <w:rPr>
                <w:noProof w:val="0"/>
              </w:rPr>
              <w:t>Unternehmen in Schieflage finden sich vor allem in den Sektoren Immobilien, Telekommunikation, Medien und Pharma.</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w:t>
              <w:br/>
            </w:r>
            <w:r>
              <w:rPr>
                <w:noProof/>
                <w:sz w:val="2"/>
              </w:rPr>
              <w:t>7cef53c0-e454-4d86-9d49-8adbd32e3965</w:t>
            </w:r>
          </w:p>
        </w:tc>
        <w:tc>
          <w:tcPr>
            <w:tcW w:w="360" w:type="dxa"/>
            <w:shd w:val="clear" w:color="auto" w:fill="F2F2F2"/>
          </w:tcPr>
          <w:p w:rsidR="00A77B3E">
            <w:pPr>
              <w:pStyle w:val="mqeng"/>
              <w:jc w:val="left"/>
            </w:pPr>
            <w:r>
              <w:rPr>
                <w:noProof/>
              </w:rPr>
              <w:t>Shifting work habits, debt loads and higher financing costs explain the problems in real estate, whereas the media sector has been struggling from weakness in cable operators and a general softening in advertising.</w:t>
            </w:r>
          </w:p>
        </w:tc>
        <w:tc>
          <w:tcPr>
            <w:tcW w:w="360" w:type="dxa"/>
            <w:shd w:val="clear" w:color="auto" w:fill="auto"/>
          </w:tcPr>
          <w:p w:rsidR="00A77B3E">
            <w:pPr>
              <w:pStyle w:val="mqger"/>
              <w:jc w:val="left"/>
            </w:pPr>
            <w:r>
              <w:rPr>
                <w:noProof w:val="0"/>
              </w:rPr>
              <w:t>Veränderte Arbeitsgewohnheiten, eine hohe Schuldenlast und höhere Finanzierungskosten liegen den Problemen im Immobiliensektor zugrunde, während der Mediensektor mit der Schwäche bei Kabelnetzbetreibern und einer allgemeinen Flaute im Werbegeschäft zu kämpfen hat.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w:t>
              <w:br/>
            </w:r>
            <w:r>
              <w:rPr>
                <w:noProof/>
                <w:sz w:val="2"/>
              </w:rPr>
              <w:t>1900a851-0c6d-481d-ab29-6bcbb7162eff</w:t>
            </w:r>
          </w:p>
        </w:tc>
        <w:tc>
          <w:tcPr>
            <w:tcW w:w="360" w:type="dxa"/>
            <w:shd w:val="clear" w:color="auto" w:fill="F2F2F2"/>
          </w:tcPr>
          <w:p w:rsidR="00A77B3E">
            <w:pPr>
              <w:pStyle w:val="mqeng"/>
              <w:jc w:val="left"/>
            </w:pPr>
            <w:r>
              <w:rPr>
                <w:noProof/>
              </w:rPr>
              <w:t>In this macroeconomic and credit environment, where trajectory is uncertain and tail risks significant, we continue to draw on the expertise of our credit research team to select attractively priced, high-quality issues while also managing upside potential and downside risks in the portfolio.</w:t>
            </w:r>
          </w:p>
        </w:tc>
        <w:tc>
          <w:tcPr>
            <w:tcW w:w="360" w:type="dxa"/>
            <w:shd w:val="clear" w:color="auto" w:fill="auto"/>
          </w:tcPr>
          <w:p w:rsidR="00A77B3E">
            <w:pPr>
              <w:pStyle w:val="mqger"/>
              <w:jc w:val="left"/>
            </w:pPr>
            <w:r>
              <w:rPr>
                <w:noProof w:val="0"/>
              </w:rPr>
              <w:t>In diesem makroökonomischen und kreditwirtschaftlichen Umfeld, dessen Aussichten ungewiss sind und das zahlreiche Risiken birgt, stützen wir uns bei der Auswahl attraktiv bewerteter, bonitätsstarker Emissionen weiterhin auf die Expertise unseres Credit Research. Zugleich sind wir bestrebt, das Aufwärtspotenzial zu nutzen und die Abwärtsrisiken des Portfolios so gering wie möglich zu halten.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(70%)</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w:t>
              <w:br/>
            </w:r>
            <w:r>
              <w:rPr>
                <w:noProof/>
                <w:sz w:val="2"/>
              </w:rPr>
              <w:t>2cf207ed-925f-4974-a4bc-9a5589a6fbd8</w:t>
            </w:r>
          </w:p>
        </w:tc>
        <w:tc>
          <w:tcPr>
            <w:tcW w:w="360" w:type="dxa"/>
            <w:shd w:val="clear" w:color="auto" w:fill="F2F2F2"/>
          </w:tcPr>
          <w:p w:rsidR="00A77B3E">
            <w:pPr>
              <w:pStyle w:val="mqeng"/>
              <w:jc w:val="left"/>
            </w:pPr>
            <w:r>
              <w:rPr>
                <w:noProof/>
              </w:rPr>
              <w:t>We feel a discriminating approach to security selection, combined with nimbleness in adding or removing risk from the portfolio, will be key to delivering attractive risk-adjusted returns.</w:t>
            </w:r>
          </w:p>
        </w:tc>
        <w:tc>
          <w:tcPr>
            <w:tcW w:w="360" w:type="dxa"/>
            <w:shd w:val="clear" w:color="auto" w:fill="auto"/>
          </w:tcPr>
          <w:p w:rsidR="00A77B3E">
            <w:pPr>
              <w:pStyle w:val="mqger"/>
              <w:jc w:val="left"/>
            </w:pPr>
            <w:r>
              <w:rPr>
                <w:noProof w:val="0"/>
              </w:rPr>
              <w:t>Wir glauben, dass ein differenzierter Ansatz bei der Titelauswahl sowie Flexibilität beim Eingehen bzw. Herunterfahren von Risiken entscheidend sind, um attraktive risikobereinigte Renditen zu erzielen.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(63%)</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w:t>
              <w:br/>
            </w:r>
            <w:r>
              <w:rPr>
                <w:noProof/>
                <w:sz w:val="2"/>
              </w:rPr>
              <w:t>29c1f776-5b3e-488f-832a-d90001221dbe</w:t>
            </w:r>
          </w:p>
        </w:tc>
        <w:tc>
          <w:tcPr>
            <w:tcW w:w="360" w:type="dxa"/>
            <w:shd w:val="clear" w:color="auto" w:fill="F2F2F2"/>
          </w:tcPr>
          <w:p w:rsidR="00A77B3E">
            <w:pPr>
              <w:pStyle w:val="mqeng"/>
              <w:jc w:val="left"/>
            </w:pPr>
            <w:r>
              <w:rPr>
                <w:noProof/>
              </w:rPr>
              <w:t>Source:</w:t>
            </w:r>
          </w:p>
        </w:tc>
        <w:tc>
          <w:tcPr>
            <w:tcW w:w="360" w:type="dxa"/>
            <w:shd w:val="clear" w:color="auto" w:fill="auto"/>
          </w:tcPr>
          <w:p w:rsidR="00A77B3E">
            <w:pPr>
              <w:pStyle w:val="mqger"/>
              <w:jc w:val="left"/>
            </w:pPr>
            <w:r>
              <w:rPr>
                <w:noProof w:val="0"/>
              </w:rPr>
              <w:t>Quelle: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w:t>
              <w:br/>
            </w:r>
            <w:r>
              <w:rPr>
                <w:noProof/>
                <w:sz w:val="2"/>
              </w:rPr>
              <w:t>5845343a-69d4-453b-8f8e-59a3dc887731</w:t>
            </w:r>
          </w:p>
        </w:tc>
        <w:tc>
          <w:tcPr>
            <w:tcW w:w="360" w:type="dxa"/>
            <w:shd w:val="clear" w:color="auto" w:fill="F2F2F2"/>
          </w:tcPr>
          <w:p w:rsidR="00A77B3E">
            <w:pPr>
              <w:pStyle w:val="mqeng"/>
              <w:jc w:val="left"/>
            </w:pPr>
            <w:r>
              <w:rPr>
                <w:noProof/>
              </w:rPr>
              <w:t>Janus Henderson Investors, as at 31 January 2024</w:t>
            </w:r>
          </w:p>
        </w:tc>
        <w:tc>
          <w:tcPr>
            <w:tcW w:w="360" w:type="dxa"/>
            <w:shd w:val="clear" w:color="auto" w:fill="auto"/>
          </w:tcPr>
          <w:p w:rsidR="00A77B3E">
            <w:pPr>
              <w:pStyle w:val="mqger"/>
              <w:jc w:val="left"/>
            </w:pPr>
            <w:r>
              <w:rPr>
                <w:noProof w:val="0"/>
              </w:rPr>
              <w:t>Janus Henderson Investors; Stand: 31. Januar 2024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r>
          </w:p>
        </w:tc>
      </w:tr>
    </w:tbl>
    <w:p w:rsidR="00A77B3E"/>
    <w:p w:rsidR="00A77B3E"/>
    <w:sectPr>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ahoma" w:eastAsia="Tahoma" w:hAnsi="Tahoma" w:cs="Tahoma"/>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mqInternal">
    <w:name w:val="mqInternal"/>
    <w:rPr>
      <w:color w:val="800000"/>
    </w:rPr>
  </w:style>
  <w:style w:type="paragraph" w:customStyle="1" w:styleId="mqger">
    <w:name w:val="mq:ger"/>
    <w:basedOn w:val="Normal"/>
    <w:rPr>
      <w:lang w:val="de-DE" w:eastAsia="de-DE" w:bidi="de-DE"/>
    </w:rPr>
  </w:style>
  <w:style w:type="paragraph" w:customStyle="1" w:styleId="mqeng">
    <w:name w:val="mq:eng"/>
    <w:basedOn w:val="Normal"/>
    <w:rPr>
      <w:lang w:val="gd-GB" w:eastAsia="gd-GB" w:bidi="gd-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DCF03D63313F4B9E5FAF0CA42A5F40" ma:contentTypeVersion="19" ma:contentTypeDescription="Create a new document." ma:contentTypeScope="" ma:versionID="ad84825f676abcf08bcdb942be82467c">
  <xsd:schema xmlns:xsd="http://www.w3.org/2001/XMLSchema" xmlns:xs="http://www.w3.org/2001/XMLSchema" xmlns:p="http://schemas.microsoft.com/office/2006/metadata/properties" xmlns:ns2="3d880aeb-51c9-45a9-a1f8-31e2d921e8bc" xmlns:ns3="03275443-a1be-471a-a2c8-5dfd7eb405c0" targetNamespace="http://schemas.microsoft.com/office/2006/metadata/properties" ma:root="true" ma:fieldsID="cf9ff27b2947d2f0ce0749925c07ccd6" ns2:_="" ns3:_="">
    <xsd:import namespace="3d880aeb-51c9-45a9-a1f8-31e2d921e8bc"/>
    <xsd:import namespace="03275443-a1be-471a-a2c8-5dfd7eb405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80aeb-51c9-45a9-a1f8-31e2d921e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0a23d72-b190-4a68-b8b8-c59ef18e839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75443-a1be-471a-a2c8-5dfd7eb405c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182ffc3-fb15-4dfe-aca4-e705a0ba018c}" ma:internalName="TaxCatchAll" ma:showField="CatchAllData" ma:web="03275443-a1be-471a-a2c8-5dfd7eb405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880aeb-51c9-45a9-a1f8-31e2d921e8bc">
      <Terms xmlns="http://schemas.microsoft.com/office/infopath/2007/PartnerControls"/>
    </lcf76f155ced4ddcb4097134ff3c332f>
    <TaxCatchAll xmlns="03275443-a1be-471a-a2c8-5dfd7eb405c0" xsi:nil="true"/>
  </documentManagement>
</p:properties>
</file>

<file path=customXml/itemProps1.xml><?xml version="1.0" encoding="utf-8"?>
<ds:datastoreItem xmlns:ds="http://schemas.openxmlformats.org/officeDocument/2006/customXml" ds:itemID="{44698575-CA42-42DD-B283-1AB6B8CB5373}"/>
</file>

<file path=customXml/itemProps2.xml><?xml version="1.0" encoding="utf-8"?>
<ds:datastoreItem xmlns:ds="http://schemas.openxmlformats.org/officeDocument/2006/customXml" ds:itemID="{7492B459-8381-43A9-B66D-8650E79D162F}"/>
</file>

<file path=customXml/itemProps3.xml><?xml version="1.0" encoding="utf-8"?>
<ds:datastoreItem xmlns:ds="http://schemas.openxmlformats.org/officeDocument/2006/customXml" ds:itemID="{368FB4BC-1C18-403A-B374-A8D95D58E7F8}"/>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asCommentColumn">
    <vt:bool>true</vt:bool>
  </property>
  <property fmtid="{D5CDD505-2E9C-101B-9397-08002B2CF9AE}" pid="3" name="HasStatusColumn">
    <vt:bool>true</vt:bool>
  </property>
  <property fmtid="{D5CDD505-2E9C-101B-9397-08002B2CF9AE}" pid="4" name="HasTwoTargetColumn">
    <vt:bool>false</vt:bool>
  </property>
  <property fmtid="{D5CDD505-2E9C-101B-9397-08002B2CF9AE}" pid="5" name="memoQVersion">
    <vt:lpwstr>11.6.10</vt:lpwstr>
  </property>
  <property fmtid="{D5CDD505-2E9C-101B-9397-08002B2CF9AE}" pid="6" name="ContentTypeId">
    <vt:lpwstr>0x010100B9DCF03D63313F4B9E5FAF0CA42A5F40</vt:lpwstr>
  </property>
</Properties>
</file>