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2A0CC" w14:textId="77777777" w:rsidR="00B15916" w:rsidRDefault="00000000">
      <w:pPr>
        <w:pStyle w:val="CMHeader"/>
        <w:bidi w:val="0"/>
      </w:pPr>
      <w:r>
        <w:rPr>
          <w:rFonts w:hAnsi="Applied Sans Pro"/>
          <w:lang w:val="fr"/>
          <w:b w:val="1"/>
          <w:bCs w:val="1"/>
          <w:i w:val="0"/>
          <w:iCs w:val="0"/>
          <w:u w:val="none"/>
          <w:vertAlign w:val="baseline"/>
          <w:rtl w:val="0"/>
        </w:rPr>
        <w:t xml:space="preserve">Investment environment</w:t>
      </w:r>
    </w:p>
    <w:p w14:paraId="0CBF8E59" w14:textId="77777777" w:rsidR="00B15916" w:rsidRDefault="00000000">
      <w:pPr>
        <w:pStyle w:val="CMBody"/>
        <w:bidi w:val="0"/>
      </w:pPr>
      <w:r>
        <w:rPr>
          <w:rFonts w:hAnsi="Applied Sans Pro Light"/>
          <w:lang w:val="fr"/>
          <w:b w:val="0"/>
          <w:bCs w:val="0"/>
          <w:i w:val="0"/>
          <w:iCs w:val="0"/>
          <w:u w:val="none"/>
          <w:vertAlign w:val="baseline"/>
          <w:rtl w:val="0"/>
        </w:rPr>
        <w:t xml:space="preserve">Les marchés obligataires se sont légèrement refroidis en janvier après la forte hausse enregistrée à la fin de l'année dernière, et le marché européen des obligations à haut rendement a dégagé un rendement légèrement positif. Les rendements excédentaires ont été positifs.</w:t>
      </w:r>
    </w:p>
    <w:p w14:paraId="2BC4B6D0" w14:textId="77777777" w:rsidR="00B15916" w:rsidRDefault="00000000">
      <w:pPr>
        <w:pStyle w:val="CMBody"/>
        <w:bidi w:val="0"/>
      </w:pPr>
      <w:r>
        <w:rPr>
          <w:rFonts w:hAnsi="Applied Sans Pro Light"/>
          <w:lang w:val="fr"/>
          <w:b w:val="0"/>
          <w:bCs w:val="0"/>
          <w:i w:val="0"/>
          <w:iCs w:val="0"/>
          <w:u w:val="none"/>
          <w:vertAlign w:val="baseline"/>
          <w:rtl w:val="0"/>
        </w:rPr>
        <w:t xml:space="preserve">En Europe, les écarts des obligations à haut rendement se sont resserrés face au regain d'intérêt pour cette classe d'actifs. La Banque centrale européenne (BCE) a maintenu ses taux inchangés à l'issue de la réunion qui s'est tenue au cours du mois. Toutefois, dans sa déclaration, la présidente Christine Lagarde a mis l'accent sur l'atténuation des pressions exercées sur les prix, en particulier sur le ralentissement de la croissance des salaires, et ses commentaires ont renforcé les espoirs d'un assouplissement de la politique monétaire par les responsables politiques dès le mois d'avril. L'économie de la zone euro s'est avérée peu dynamique, mais elle est parvenue à éviter une récession technique, avec une croissance nulle au quatrième trimestre, après une contraction de 0,1 % au troisième trimestre. Entre-temps, les inquiétudes concernant les chaînes d'approvisionnement se sont à nouveau ravivées, avec les frappes aériennes menées par les États-Unis et le Royaume-Uni contre les activistes houthis au Yémen, à la suite d'attaques sur les navires marchands en mer Rouge.</w:t>
      </w:r>
    </w:p>
    <w:p w14:paraId="34A6122B" w14:textId="77777777" w:rsidR="00B15916" w:rsidRDefault="00000000">
      <w:pPr>
        <w:pStyle w:val="CMBody"/>
        <w:bidi w:val="0"/>
      </w:pPr>
      <w:r>
        <w:rPr>
          <w:rFonts w:hAnsi="Applied Sans Pro Light"/>
          <w:lang w:val="fr"/>
          <w:b w:val="0"/>
          <w:bCs w:val="0"/>
          <w:i w:val="0"/>
          <w:iCs w:val="0"/>
          <w:u w:val="none"/>
          <w:vertAlign w:val="baseline"/>
          <w:rtl w:val="0"/>
        </w:rPr>
        <w:t xml:space="preserve">Les spreads des obligations américaines à haut rendement se sont creusés durant le mois, en réaction à la solide performance du marché au quatrième trimestre, tandis que la publication d'indicateurs macroéconomiques meilleurs que prévu a réduit à néant les espoirs d'une baisse anticipée des taux d'intérêt. Au quatrième trimestre, le PIB des États-Unis a progressé à un rythme nettement plus élevé que prévu (3,3 % en rythme annuel), bien qu'en recul par rapport aux 4,9 % du troisième trimestre, et le marché de l'emploi est resté dynamique. La vigueur de l'économie a continué à alimenter la thèse d'un « atterrissage en douceur » évoquée l'année dernière, mais elle a également suscité des doutes au cours du mois quant au calendrier d'assouplissement de la politique monétaire de la Réserve fédérale américaine (Fed). En effet, la Fed a maintenu ses taux inchangés à l'issue de sa réunion à la fin du mois et a repoussé l'idée d'un abaissement imminent des taux d'intérêt en raison de la persistance d'une inflation trop forte.</w:t>
      </w:r>
    </w:p>
    <w:p w14:paraId="6213D5D5" w14:textId="77777777" w:rsidR="00B15916" w:rsidRDefault="00000000">
      <w:pPr>
        <w:pStyle w:val="CMBody"/>
        <w:bidi w:val="0"/>
      </w:pPr>
      <w:r>
        <w:rPr>
          <w:rFonts w:hAnsi="Applied Sans Pro Light"/>
          <w:lang w:val="fr"/>
          <w:b w:val="0"/>
          <w:bCs w:val="0"/>
          <w:i w:val="0"/>
          <w:iCs w:val="0"/>
          <w:u w:val="none"/>
          <w:vertAlign w:val="baseline"/>
          <w:rtl w:val="0"/>
        </w:rPr>
        <w:t xml:space="preserve">En termes de notations, les obligations notées CCC ont affiché les meilleures performances, devant les obligations notées B et BB. Sur le plan sectoriel, les valeurs financières ont surpassé les valeurs non financières, principalement grâce à l'immobilier qui est parvenu à effacer une partie des pertes subies au cours du mois précédent. Dans le secteur non financier, ce sont les écarts de rendement des REIT qui se sont le plus resserrés, tandis que les supermarchés, les produits chimiques et les jeux ont également enregistré de solides résultats. Les secteurs de l'automobile et des technologies ont sous-performé sur le mois.</w:t>
      </w:r>
    </w:p>
    <w:p w14:paraId="2DFF40E5" w14:textId="77777777" w:rsidR="00B15916" w:rsidRDefault="00000000">
      <w:pPr>
        <w:pStyle w:val="CMHeader"/>
        <w:bidi w:val="0"/>
      </w:pPr>
      <w:r>
        <w:rPr>
          <w:rFonts w:hAnsi="Applied Sans Pro"/>
          <w:lang w:val="fr"/>
          <w:b w:val="1"/>
          <w:bCs w:val="1"/>
          <w:i w:val="0"/>
          <w:iCs w:val="0"/>
          <w:u w:val="none"/>
          <w:vertAlign w:val="baseline"/>
          <w:rtl w:val="0"/>
        </w:rPr>
        <w:t xml:space="preserve">Portfolio review</w:t>
      </w:r>
    </w:p>
    <w:p w14:paraId="346955FA" w14:textId="77777777" w:rsidR="00B15916" w:rsidRDefault="00000000">
      <w:pPr>
        <w:pStyle w:val="CMBody"/>
        <w:bidi w:val="0"/>
      </w:pPr>
      <w:r>
        <w:rPr>
          <w:rFonts w:hAnsi="Applied Sans Pro Light"/>
          <w:lang w:val="fr"/>
          <w:b w:val="0"/>
          <w:bCs w:val="0"/>
          <w:i w:val="0"/>
          <w:iCs w:val="0"/>
          <w:u w:val="none"/>
          <w:vertAlign w:val="baseline"/>
          <w:rtl w:val="0"/>
        </w:rPr>
        <w:t xml:space="preserve">La surperformance s’explique principalement par la sélection de titres et l'allocation sectorielle. Au niveau sectoriel, la sous-pondération des technologies et de l'électronique a fortement soutenu la performance, tandis que la surpondération des soins de santé a légèrement pesé sur les résultats. La sous-pondération de l'immobilier a également eu un effet négatif, car ce secteur a enregistré l'une des meilleures performances en janvier, mais le fonds a bénéficié d'une judicieuse sélection de titres dans ce domaine. La sélection de titres dans les services aux collectivités et le commerce de détail a également créé de la valeur, tandis qu'elle a nui à la performance dans le secteur des biens d'équipement et des services financiers.</w:t>
      </w:r>
    </w:p>
    <w:p w14:paraId="481427EB" w14:textId="77777777" w:rsidR="00B15916" w:rsidRDefault="00000000">
      <w:pPr>
        <w:pStyle w:val="CMBody"/>
        <w:bidi w:val="0"/>
      </w:pPr>
      <w:r>
        <w:rPr>
          <w:rFonts w:hAnsi="Applied Sans Pro Light"/>
          <w:lang w:val="fr"/>
          <w:b w:val="0"/>
          <w:bCs w:val="0"/>
          <w:i w:val="0"/>
          <w:iCs w:val="0"/>
          <w:u w:val="none"/>
          <w:vertAlign w:val="baseline"/>
          <w:rtl w:val="0"/>
        </w:rPr>
        <w:t xml:space="preserve">Au niveau des émetteurs, la surpondération des REIT européens CPI Property et Aroundtown a fortement dopé la performance du fonds. Ces deux émetteurs ont sous-performé en 2023 pour deux raisons : l'environnement de taux d'intérêt élevés a mis à mal leurs modèles économiques et, dans le cas de CPI, l'annonce en décembre du pari de Muddy Waters (le hedge fund vendeur à découvert) contre lui. Leurs spreads se sont toutefois considérablement resserrés en janvier, à l'instar de l'ensemble du secteur des REIT, car les investisseurs anticipent de plus en plus une baisse des taux d'intérêt. L'absence d'Atos, société informatique française, au sein du portefeuille a contribué positivement à la performance relative, les écarts s'étant creusés au cours du mois. Les obligations de cette société ont connu une certaine volatilité ces derniers temps, les investisseurs s'interrogeant sur sa capacité à refinancer sa dette. La surpondération de la société de services automobiles RAC a également contribué à la performance, et ce malgré l'élargissement du secteur en janvier.</w:t>
      </w:r>
    </w:p>
    <w:p w14:paraId="484C42E1" w14:textId="77777777" w:rsidR="00B15916" w:rsidRDefault="00000000">
      <w:pPr>
        <w:pStyle w:val="CMBody"/>
        <w:bidi w:val="0"/>
      </w:pPr>
      <w:r>
        <w:rPr>
          <w:rFonts w:hAnsi="Applied Sans Pro Light"/>
          <w:lang w:val="fr"/>
          <w:b w:val="0"/>
          <w:bCs w:val="0"/>
          <w:i w:val="0"/>
          <w:iCs w:val="0"/>
          <w:u w:val="none"/>
          <w:vertAlign w:val="baseline"/>
          <w:rtl w:val="0"/>
        </w:rPr>
        <w:t xml:space="preserve">À l'inverse, la non-détention de certaines sociétés immobilières européennes, notamment Heimstaden Bostad et Heimstaden, qui ont bien évolué au cours du mois a nui à la performance. La société d'emballage en verre Ardagh Metal Packaging, le laboratoire pharmaceutique espagnol Grifols et l'entreprise mondiale de soins de santé Organon ont également pesé sur les résultats du fonds.</w:t>
      </w:r>
    </w:p>
    <w:p w14:paraId="30AE89C8" w14:textId="77777777" w:rsidR="00B15916" w:rsidRDefault="00000000">
      <w:pPr>
        <w:pStyle w:val="CMBody"/>
        <w:bidi w:val="0"/>
      </w:pPr>
      <w:r>
        <w:rPr>
          <w:rFonts w:hAnsi="Applied Sans Pro Light"/>
          <w:lang w:val="fr"/>
          <w:b w:val="0"/>
          <w:bCs w:val="0"/>
          <w:i w:val="0"/>
          <w:iCs w:val="0"/>
          <w:u w:val="none"/>
          <w:vertAlign w:val="baseline"/>
          <w:rtl w:val="0"/>
        </w:rPr>
        <w:t xml:space="preserve">S'agissant du positionnement, nous avons réduit la surpondération du fonds dans les télécommunications par le biais de prises de bénéfices sur certains des émetteurs les plus performants, et nous avons renforcé l'exposition aux REIT, qui, selon nous, devraient bénéficier de l'assouplissement de la politique monétaire des banques centrales.</w:t>
      </w:r>
    </w:p>
    <w:p w14:paraId="32E8818B" w14:textId="77777777" w:rsidR="00B15916" w:rsidRDefault="00000000">
      <w:pPr>
        <w:pStyle w:val="CMHeader"/>
        <w:bidi w:val="0"/>
      </w:pPr>
      <w:r>
        <w:rPr>
          <w:rFonts w:hAnsi="Applied Sans Pro"/>
          <w:lang w:val="fr"/>
          <w:b w:val="1"/>
          <w:bCs w:val="1"/>
          <w:i w:val="0"/>
          <w:iCs w:val="0"/>
          <w:u w:val="none"/>
          <w:vertAlign w:val="baseline"/>
          <w:rtl w:val="0"/>
        </w:rPr>
        <w:t xml:space="preserve">Contributors/detractors</w:t>
      </w:r>
    </w:p>
    <w:p w14:paraId="1CBE7AB4" w14:textId="77777777" w:rsidR="00B15916" w:rsidRDefault="00000000">
      <w:pPr>
        <w:pStyle w:val="CMBody"/>
        <w:bidi w:val="0"/>
      </w:pPr>
      <w:r>
        <w:rPr>
          <w:rFonts w:hAnsi="Applied Sans Pro Light"/>
          <w:lang w:val="fr"/>
          <w:b w:val="0"/>
          <w:bCs w:val="0"/>
          <w:i w:val="0"/>
          <w:iCs w:val="0"/>
          <w:u w:val="none"/>
          <w:vertAlign w:val="baseline"/>
          <w:rtl w:val="0"/>
        </w:rPr>
        <w:t xml:space="preserve">​La surperformance du fonds s’explique principalement par la sélection de titres et l'allocation sectorielle.</w:t>
      </w:r>
    </w:p>
    <w:p w14:paraId="527610A0" w14:textId="77777777" w:rsidR="00B15916" w:rsidRDefault="00000000">
      <w:pPr>
        <w:pStyle w:val="CMHeader"/>
        <w:bidi w:val="0"/>
      </w:pPr>
      <w:r>
        <w:rPr>
          <w:rFonts w:hAnsi="Applied Sans Pro"/>
          <w:lang w:val="fr"/>
          <w:b w:val="1"/>
          <w:bCs w:val="1"/>
          <w:i w:val="0"/>
          <w:iCs w:val="0"/>
          <w:u w:val="none"/>
          <w:vertAlign w:val="baseline"/>
          <w:rtl w:val="0"/>
        </w:rPr>
        <w:t xml:space="preserve">Outlook</w:t>
      </w:r>
    </w:p>
    <w:p w14:paraId="16689DAC" w14:textId="77777777" w:rsidR="00B15916" w:rsidRDefault="00000000">
      <w:pPr>
        <w:pStyle w:val="CMBody"/>
        <w:bidi w:val="0"/>
      </w:pPr>
      <w:r>
        <w:rPr>
          <w:rFonts w:hAnsi="Applied Sans Pro Light"/>
          <w:lang w:val="fr"/>
          <w:b w:val="0"/>
          <w:bCs w:val="0"/>
          <w:i w:val="0"/>
          <w:iCs w:val="0"/>
          <w:u w:val="none"/>
          <w:vertAlign w:val="baseline"/>
          <w:rtl w:val="0"/>
        </w:rPr>
        <w:t xml:space="preserve">​Compte tenu des perspectives binaires, nous hésitons à prendre davantage de risques et continuons à nous concentrer sur la sélection de sociétés présentant des fondamentaux solides et des valorisations que nous jugeons intéressantes.</w:t>
      </w:r>
    </w:p>
    <w:p w14:paraId="46759744" w14:textId="77777777" w:rsidR="00B15916" w:rsidRDefault="00000000">
      <w:pPr>
        <w:pStyle w:val="CMHeader"/>
        <w:bidi w:val="0"/>
      </w:pPr>
      <w:r>
        <w:rPr>
          <w:rFonts w:hAnsi="Applied Sans Pro"/>
          <w:lang w:val="fr"/>
          <w:b w:val="1"/>
          <w:bCs w:val="1"/>
          <w:i w:val="0"/>
          <w:iCs w:val="0"/>
          <w:u w:val="none"/>
          <w:vertAlign w:val="baseline"/>
          <w:rtl w:val="0"/>
        </w:rPr>
        <w:t xml:space="preserve">Manager outlook</w:t>
      </w:r>
    </w:p>
    <w:p w14:paraId="2838E5FE" w14:textId="77777777" w:rsidR="00B15916" w:rsidRDefault="00000000">
      <w:pPr>
        <w:pStyle w:val="CMBody"/>
        <w:bidi w:val="0"/>
      </w:pPr>
      <w:r>
        <w:rPr>
          <w:rFonts w:hAnsi="Applied Sans Pro Light"/>
          <w:lang w:val="fr"/>
          <w:b w:val="0"/>
          <w:bCs w:val="0"/>
          <w:i w:val="0"/>
          <w:iCs w:val="0"/>
          <w:u w:val="none"/>
          <w:vertAlign w:val="baseline"/>
          <w:rtl w:val="0"/>
        </w:rPr>
        <w:t xml:space="preserve">Nous avons maintenu une légère surpondération du fonds sur le risque d’écart de crédit par rapport à l’indice.</w:t>
      </w:r>
    </w:p>
    <w:p w14:paraId="29DC1665" w14:textId="77777777" w:rsidR="00B15916" w:rsidRDefault="00000000">
      <w:pPr>
        <w:pStyle w:val="CMBody"/>
        <w:bidi w:val="0"/>
      </w:pPr>
      <w:r>
        <w:rPr>
          <w:rFonts w:hAnsi="Applied Sans Pro Light"/>
          <w:lang w:val="fr"/>
          <w:b w:val="0"/>
          <w:bCs w:val="0"/>
          <w:i w:val="0"/>
          <w:iCs w:val="0"/>
          <w:u w:val="none"/>
          <w:vertAlign w:val="baseline"/>
          <w:rtl w:val="0"/>
        </w:rPr>
        <w:t xml:space="preserve">Les marchés ont vite réagi à la perspective d'un report du début d'un cycle de réduction des taux de la Fed et, bien que ce retard ne modifie en rien nos perspectives pour l'année, il met en évidence la volatilité des taux à laquelle nous pouvons nous attendre lorsque les investisseurs ajusteront leurs attentes. Cette volatilité devant selon nous se répercuter sur les spreads des obligations à haut rendement, nous envisageons deux scénarios possibles : des spreads à court terme baissiers résultant d'une réactivation des craintes inflationnistes, ou une ré-accélération temporaire de la croissance conduisant les banques centrales à différer les baisses de taux d'intérêt. Un marché haussier à spread stable pourrait se produire s'il ne fait aucun doute que l'inflation est définitivement maîtrisée. Les banques centrales abaissent leurs taux pour éviter que les taux réels ne deviennent trop restrictifs, ce qui profite aux actifs à spreads. Compte tenu des perspectives binaires, nous hésitons à prendre davantage de risques et continuons à nous concentrer sur la sélection de sociétés présentant des fondamentaux solides et des valorisations que nous jugeons intéressantes.</w:t>
      </w:r>
    </w:p>
    <w:p w14:paraId="7B53E15A" w14:textId="77777777" w:rsidR="00B15916" w:rsidRDefault="00000000">
      <w:pPr>
        <w:pStyle w:val="CMBody"/>
        <w:bidi w:val="0"/>
      </w:pPr>
      <w:r>
        <w:rPr>
          <w:rFonts w:hAnsi="Applied Sans Pro Light"/>
          <w:lang w:val="fr"/>
          <w:b w:val="0"/>
          <w:bCs w:val="0"/>
          <w:i w:val="0"/>
          <w:iCs w:val="0"/>
          <w:u w:val="none"/>
          <w:vertAlign w:val="baseline"/>
          <w:rtl w:val="0"/>
        </w:rPr>
        <w:t xml:space="preserve">La demande est restée forte en janvier, malgré l'augmentation de l'offre. Cela reste un facteur technique favorable à cette classe d’actifs. Cependant, face aux espoirs de baisse des taux d'intérêt et à l'approche du mur des échéances, nous demeurons prudents à l'égard des sociétés dont l'endettement augmente et dont les ratios de couverture des taux d'intérêt sont plus faibles. Nous sommes en revanche positifs à l'égard des sociétés qui continuent d'afficher des ratios de couverture des taux d'intérêt relativement satisfaisants et des flux de trésorerie disponibles solides.</w:t>
      </w:r>
    </w:p>
    <w:p w14:paraId="5BF93088" w14:textId="77777777" w:rsidR="00B15916" w:rsidRDefault="00000000">
      <w:pPr>
        <w:pStyle w:val="CMBody"/>
        <w:bidi w:val="0"/>
      </w:pPr>
      <w:r>
        <w:rPr>
          <w:rFonts w:hAnsi="Applied Sans Pro Light"/>
          <w:lang w:val="fr"/>
          <w:b w:val="0"/>
          <w:bCs w:val="0"/>
          <w:i w:val="0"/>
          <w:iCs w:val="0"/>
          <w:u w:val="none"/>
          <w:vertAlign w:val="baseline"/>
          <w:rtl w:val="0"/>
        </w:rPr>
        <w:t xml:space="preserve">La dégradation des ratios de crédit se révèle modérée. Toutefois, les taux de défaillance devraient, selon nous, se maintenir à des niveaux relativement bas, bien qu'ils soient légèrement plus élevés aux États-Unis, où le marché des obligations à haut rendement est de moindre qualité que celui de l'Europe. Les difficultés touchent principalement les secteurs de l'immobilier, des télécommunications, des médias et des produits pharmaceutiques. L'évolution des habitudes de travail, l'endettement et l'augmentation des coûts de financement expliquent les problèmes de l'immobilier, tandis que le secteur des médias a pâti de la faiblesse des câblo-opérateurs et d'un ralentissement général de la publicité.</w:t>
      </w:r>
    </w:p>
    <w:p w14:paraId="01C7AE8C" w14:textId="77777777" w:rsidR="00B15916" w:rsidRDefault="00000000">
      <w:pPr>
        <w:pStyle w:val="CMBody"/>
        <w:bidi w:val="0"/>
      </w:pPr>
      <w:r>
        <w:rPr>
          <w:rFonts w:hAnsi="Applied Sans Pro Light"/>
          <w:lang w:val="fr"/>
          <w:b w:val="0"/>
          <w:bCs w:val="0"/>
          <w:i w:val="0"/>
          <w:iCs w:val="0"/>
          <w:u w:val="none"/>
          <w:vertAlign w:val="baseline"/>
          <w:rtl w:val="0"/>
        </w:rPr>
        <w:t xml:space="preserve">Dans cet environnement macroéconomique et de crédit, dont la trajectoire est incertaine et les risques secondaires importants, nous continuons à nous appuyer sur l'expertise de notre équipe de recherche sur le crédit pour sélectionner des émissions de qualité à des prix intéressants, tout en gérant le potentiel de hausse et les risques de baisse au sein du portefeuille. Nous estimons qu'une sélection de titres rigoureuse et une certaine souplesse dans la gestion des risques au sein du portefeuille, sera essentielle pour obtenir des performances ajustées du risque intéressantes.</w:t>
      </w:r>
    </w:p>
    <w:p w14:paraId="647FDBDE" w14:textId="77777777" w:rsidR="00B15916" w:rsidRDefault="00000000">
      <w:pPr>
        <w:pStyle w:val="CMSource"/>
        <w:bidi w:val="0"/>
      </w:pPr>
      <w:r>
        <w:rPr>
          <w:rFonts w:hAnsi="Applied Sans Pro Light"/>
          <w:lang w:val="fr"/>
          <w:b w:val="0"/>
          <w:bCs w:val="0"/>
          <w:i w:val="0"/>
          <w:iCs w:val="0"/>
          <w:u w:val="none"/>
          <w:vertAlign w:val="baseline"/>
          <w:rtl w:val="0"/>
        </w:rPr>
        <w:t xml:space="preserve">Source : Janus Henderson Investors, au 31 janvier 2024</w:t>
      </w:r>
    </w:p>
    <w:sectPr w:rsidR="00B15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ied Sans Pro">
    <w:altName w:val="Cambria"/>
    <w:panose1 w:val="00000000000000000000"/>
    <w:charset w:val="00"/>
    <w:family w:val="roman"/>
    <w:notTrueType/>
    <w:pitch w:val="default"/>
  </w:font>
  <w:font w:name="Applied Sans Pro Ligh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916"/>
    <w:rsid w:val="00666749"/>
    <w:rsid w:val="00B15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4F2AB"/>
  <w15:docId w15:val="{4C267496-0163-4A7E-9587-0BF6E0E6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MHeader">
    <w:name w:val="CMHeader"/>
    <w:rPr>
      <w:rFonts w:ascii="Applied Sans Pro"/>
      <w:b/>
      <w:color w:val="F06C00"/>
      <w:sz w:val="28"/>
    </w:rPr>
  </w:style>
  <w:style w:type="paragraph" w:customStyle="1" w:styleId="CMBody">
    <w:name w:val="CMBody"/>
    <w:rPr>
      <w:rFonts w:ascii="Applied Sans Pro Light"/>
      <w:color w:val="252A36"/>
      <w:sz w:val="18"/>
    </w:rPr>
  </w:style>
  <w:style w:type="paragraph" w:customStyle="1" w:styleId="CMSource">
    <w:name w:val="CMSource"/>
    <w:rPr>
      <w:rFonts w:ascii="Applied Sans Pro Light"/>
      <w:color w:val="252A36"/>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DCF03D63313F4B9E5FAF0CA42A5F40" ma:contentTypeVersion="18" ma:contentTypeDescription="Crée un document." ma:contentTypeScope="" ma:versionID="27d9d0314aaeaa9407188b5fe77d2bc6">
  <xsd:schema xmlns:xsd="http://www.w3.org/2001/XMLSchema" xmlns:xs="http://www.w3.org/2001/XMLSchema" xmlns:p="http://schemas.microsoft.com/office/2006/metadata/properties" xmlns:ns2="3d880aeb-51c9-45a9-a1f8-31e2d921e8bc" xmlns:ns3="03275443-a1be-471a-a2c8-5dfd7eb405c0" targetNamespace="http://schemas.microsoft.com/office/2006/metadata/properties" ma:root="true" ma:fieldsID="1f491dd86b5e8379a5462bcd90ab701d" ns2:_="" ns3:_="">
    <xsd:import namespace="3d880aeb-51c9-45a9-a1f8-31e2d921e8bc"/>
    <xsd:import namespace="03275443-a1be-471a-a2c8-5dfd7eb405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80aeb-51c9-45a9-a1f8-31e2d921e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40a23d72-b190-4a68-b8b8-c59ef18e83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75443-a1be-471a-a2c8-5dfd7eb405c0" elementFormDefault="qualified">
    <xsd:import namespace="http://schemas.microsoft.com/office/2006/documentManagement/types"/>
    <xsd:import namespace="http://schemas.microsoft.com/office/infopath/2007/PartnerControls"/>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6182ffc3-fb15-4dfe-aca4-e705a0ba018c}" ma:internalName="TaxCatchAll" ma:showField="CatchAllData" ma:web="03275443-a1be-471a-a2c8-5dfd7eb40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49FFAB-A977-4D1D-AEFB-510823AA75EC}"/>
</file>

<file path=customXml/itemProps2.xml><?xml version="1.0" encoding="utf-8"?>
<ds:datastoreItem xmlns:ds="http://schemas.openxmlformats.org/officeDocument/2006/customXml" ds:itemID="{2B216C51-A12D-46EB-97B4-380D0BC3D389}"/>
</file>

<file path=docProps/app.xml><?xml version="1.0" encoding="utf-8"?>
<Properties xmlns="http://schemas.openxmlformats.org/officeDocument/2006/extended-properties" xmlns:vt="http://schemas.openxmlformats.org/officeDocument/2006/docPropsVTypes">
  <Template>Normal.dotm</Template>
  <TotalTime>0</TotalTime>
  <Pages>2</Pages>
  <Words>1053</Words>
  <Characters>6004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Alessandro Dolce</cp:lastModifiedBy>
  <cp:revision>2</cp:revision>
  <dcterms:created xsi:type="dcterms:W3CDTF">2024-02-15T14:39:00Z</dcterms:created>
  <dcterms:modified xsi:type="dcterms:W3CDTF">2024-02-15T14:39:00Z</dcterms:modified>
</cp:coreProperties>
</file>