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10.0 -->
  <w:body>
    <w:tbl>
      <w:tblPr>
        <w:tblCaption w:val="TableDocxTableTitle"/>
        <w:tblDescription w:val="daac3052-11e2-4d6a-853f-33d9d6d7ebe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0"/>
        <w:gridCol w:w="6032"/>
        <w:gridCol w:w="6032"/>
        <w:gridCol w:w="1217"/>
        <w:gridCol w:w="166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800" w:type="dxa"/>
            <w:gridSpan w:val="5"/>
            <w:shd w:val="clear" w:color="auto" w:fill="F2F2F2"/>
          </w:tcPr>
          <w:p w:rsidR="00A77B3E">
            <w:pPr>
              <w:jc w:val="center"/>
              <w:rPr>
                <w:b/>
                <w:i w:val="0"/>
                <w:noProof/>
                <w:u w:val="none"/>
                <w:vertAlign w:val="baseline"/>
              </w:rPr>
            </w:pPr>
            <w:r>
              <w:rPr>
                <w:b/>
                <w:i w:val="0"/>
                <w:noProof/>
                <w:u w:val="none"/>
                <w:vertAlign w:val="baseline"/>
              </w:rPr>
              <w:t>4802_HHFGHY_EN_M_31012024.docx</w:t>
            </w:r>
          </w:p>
          <w:p w:rsidR="00A77B3E">
            <w:pPr>
              <w:jc w:val="center"/>
              <w:rPr>
                <w:b/>
                <w:i w:val="0"/>
                <w:noProof/>
                <w:u w:val="none"/>
                <w:vertAlign w:val="baseline"/>
              </w:rPr>
            </w:pPr>
            <w:r>
              <w:rPr>
                <w:b/>
                <w:i w:val="0"/>
                <w:noProof/>
                <w:u w:val="none"/>
                <w:vertAlign w:val="baseline"/>
              </w:rPr>
              <w:t>Important! Don’t change segment ID or source text.</w:t>
            </w:r>
          </w:p>
          <w:p w:rsidR="00A77B3E">
            <w:pPr>
              <w:jc w:val="center"/>
              <w:rPr>
                <w:b/>
                <w:i w:val="0"/>
                <w:noProof/>
                <w:u w:val="none"/>
                <w:vertAlign w:val="baseline"/>
              </w:rPr>
            </w:pPr>
            <w:r>
              <w:rPr>
                <w:b/>
                <w:i w:val="0"/>
                <w:noProof/>
                <w:u w:val="none"/>
                <w:vertAlign w:val="baseline"/>
              </w:rPr>
              <w:t>V11.6.10 daac3052-11e2-4d6a-853f-33d9d6d7ebe5</w:t>
            </w:r>
          </w:p>
        </w:tc>
      </w:tr>
      <w:tr>
        <w:tblPrEx>
          <w:tblW w:w="5000" w:type="pct"/>
          <w:tblCellMar>
            <w:left w:w="108" w:type="dxa"/>
            <w:right w:w="108" w:type="dxa"/>
          </w:tblCellMar>
        </w:tblPrEx>
        <w:tc>
          <w:tcPr>
            <w:tcW w:w="660" w:type="dxa"/>
            <w:shd w:val="clear" w:color="auto" w:fill="F2F2F2"/>
          </w:tcPr>
          <w:p w:rsidR="00A77B3E">
            <w:pPr>
              <w:jc w:val="left"/>
              <w:rPr>
                <w:b/>
                <w:i w:val="0"/>
                <w:noProof/>
                <w:u w:val="none"/>
                <w:vertAlign w:val="baseline"/>
              </w:rPr>
            </w:pPr>
            <w:r>
              <w:rPr>
                <w:b/>
                <w:i w:val="0"/>
                <w:noProof/>
                <w:u w:val="none"/>
                <w:vertAlign w:val="baseline"/>
              </w:rPr>
              <w:t>ID</w:t>
            </w:r>
          </w:p>
        </w:tc>
        <w:tc>
          <w:tcPr>
            <w:tcW w:w="5949" w:type="dxa"/>
            <w:shd w:val="clear" w:color="auto" w:fill="F2F2F2"/>
          </w:tcPr>
          <w:p w:rsidR="00A77B3E">
            <w:pPr>
              <w:jc w:val="left"/>
              <w:rPr>
                <w:b/>
                <w:i w:val="0"/>
                <w:noProof/>
                <w:u w:val="none"/>
                <w:vertAlign w:val="baseline"/>
              </w:rPr>
            </w:pPr>
            <w:r>
              <w:rPr>
                <w:b/>
                <w:i w:val="0"/>
                <w:noProof/>
                <w:u w:val="none"/>
                <w:vertAlign w:val="baseline"/>
              </w:rPr>
              <w:t>English</w:t>
            </w:r>
          </w:p>
        </w:tc>
        <w:tc>
          <w:tcPr>
            <w:tcW w:w="5949" w:type="dxa"/>
            <w:shd w:val="clear" w:color="auto" w:fill="F2F2F2"/>
          </w:tcPr>
          <w:p w:rsidR="00A77B3E">
            <w:pPr>
              <w:jc w:val="left"/>
              <w:rPr>
                <w:b/>
                <w:i w:val="0"/>
                <w:noProof/>
                <w:u w:val="none"/>
                <w:vertAlign w:val="baseline"/>
              </w:rPr>
            </w:pPr>
            <w:r>
              <w:rPr>
                <w:b/>
                <w:i w:val="0"/>
                <w:noProof/>
                <w:u w:val="none"/>
                <w:vertAlign w:val="baseline"/>
              </w:rPr>
              <w:t>French</w:t>
            </w:r>
          </w:p>
        </w:tc>
        <w:tc>
          <w:tcPr>
            <w:tcW w:w="1200" w:type="dxa"/>
            <w:shd w:val="clear" w:color="auto" w:fill="F2F2F2"/>
          </w:tcPr>
          <w:p w:rsidR="00A77B3E">
            <w:pPr>
              <w:jc w:val="left"/>
              <w:rPr>
                <w:b/>
                <w:i w:val="0"/>
                <w:noProof/>
                <w:u w:val="none"/>
                <w:vertAlign w:val="baseline"/>
              </w:rPr>
            </w:pPr>
            <w:r>
              <w:rPr>
                <w:b/>
                <w:i w:val="0"/>
                <w:noProof/>
                <w:u w:val="none"/>
                <w:vertAlign w:val="baseline"/>
              </w:rPr>
              <w:t>Comment</w:t>
            </w:r>
          </w:p>
        </w:tc>
        <w:tc>
          <w:tcPr>
            <w:tcW w:w="1640" w:type="dxa"/>
            <w:shd w:val="clear" w:color="auto" w:fill="F2F2F2"/>
          </w:tcPr>
          <w:p w:rsidR="00A77B3E">
            <w:pPr>
              <w:jc w:val="left"/>
            </w:pPr>
            <w:r>
              <w:rPr>
                <w:b/>
                <w:i w:val="0"/>
                <w:noProof/>
                <w:u w:val="none"/>
                <w:vertAlign w:val="baseline"/>
              </w:rPr>
              <w:t>Status</w:t>
            </w:r>
          </w:p>
        </w:tc>
      </w:tr>
      <w:tr>
        <w:tblPrEx>
          <w:tblW w:w="5000" w:type="pct"/>
          <w:tblCellMar>
            <w:left w:w="108" w:type="dxa"/>
            <w:right w:w="108" w:type="dxa"/>
          </w:tblCellMar>
        </w:tblPrEx>
        <w:tc>
          <w:tcPr>
            <w:tcW w:w="360" w:type="dxa"/>
            <w:shd w:val="clear" w:color="auto" w:fill="F2F2F2"/>
          </w:tcPr>
          <w:p w:rsidR="00A77B3E">
            <w:pPr>
              <w:jc w:val="left"/>
            </w:pPr>
            <w:r>
              <w:rPr>
                <w:noProof/>
                <w:sz w:val="16"/>
              </w:rPr>
              <w:t>1</w:t>
              <w:br/>
            </w:r>
            <w:r>
              <w:rPr>
                <w:noProof/>
                <w:sz w:val="2"/>
              </w:rPr>
              <w:t>648af13b-3f54-463e-a0f2-44d308cadcb5</w:t>
            </w:r>
          </w:p>
        </w:tc>
        <w:tc>
          <w:tcPr>
            <w:tcW w:w="360" w:type="dxa"/>
            <w:shd w:val="clear" w:color="auto" w:fill="F2F2F2"/>
          </w:tcPr>
          <w:p w:rsidR="00A77B3E">
            <w:pPr>
              <w:pStyle w:val="mqeng"/>
              <w:jc w:val="left"/>
            </w:pPr>
            <w:r>
              <w:rPr>
                <w:b/>
                <w:i w:val="0"/>
                <w:noProof/>
                <w:u w:val="none"/>
                <w:vertAlign w:val="baseline"/>
              </w:rPr>
              <w:t>Investment environment</w:t>
            </w:r>
          </w:p>
        </w:tc>
        <w:tc>
          <w:tcPr>
            <w:tcW w:w="360" w:type="dxa"/>
            <w:shd w:val="clear" w:color="auto" w:fill="auto"/>
          </w:tcPr>
          <w:p w:rsidR="00A77B3E">
            <w:pPr>
              <w:pStyle w:val="mqfre"/>
              <w:jc w:val="left"/>
            </w:pPr>
            <w:r>
              <w:rPr>
                <w:b/>
                <w:i w:val="0"/>
                <w:noProof w:val="0"/>
                <w:u w:val="none"/>
                <w:vertAlign w:val="baseline"/>
              </w:rPr>
              <w:t>Investissements pour l’environnement</w:t>
            </w:r>
            <w:r>
              <w:rPr>
                <w:b/>
                <w:i w:val="0"/>
                <w:noProof w:val="0"/>
                <w:u w:val="none"/>
                <w:vertAlign w:val="superscript"/>
              </w:rPr>
              <w:t>8</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(78%)</w:t>
            </w:r>
          </w:p>
        </w:tc>
      </w:tr>
      <w:tr>
        <w:tblPrEx>
          <w:tblW w:w="5000" w:type="pct"/>
          <w:tblCellMar>
            <w:left w:w="108" w:type="dxa"/>
            <w:right w:w="108" w:type="dxa"/>
          </w:tblCellMar>
        </w:tblPrEx>
        <w:tc>
          <w:tcPr>
            <w:tcW w:w="360" w:type="dxa"/>
            <w:shd w:val="clear" w:color="auto" w:fill="F2F2F2"/>
          </w:tcPr>
          <w:p w:rsidR="00A77B3E">
            <w:pPr>
              <w:jc w:val="left"/>
            </w:pPr>
            <w:r>
              <w:rPr>
                <w:noProof/>
                <w:sz w:val="16"/>
              </w:rPr>
              <w:t>2</w:t>
              <w:br/>
            </w:r>
            <w:r>
              <w:rPr>
                <w:noProof/>
                <w:sz w:val="2"/>
              </w:rPr>
              <w:t>901b3375-bf5d-413b-b0d6-de314eddd6e2</w:t>
            </w:r>
          </w:p>
        </w:tc>
        <w:tc>
          <w:tcPr>
            <w:tcW w:w="360" w:type="dxa"/>
            <w:shd w:val="clear" w:color="auto" w:fill="F2F2F2"/>
          </w:tcPr>
          <w:p w:rsidR="00A77B3E">
            <w:pPr>
              <w:pStyle w:val="mqeng"/>
              <w:jc w:val="left"/>
            </w:pPr>
            <w:r>
              <w:rPr>
                <w:noProof/>
              </w:rPr>
              <w:t>&amp;#7;Fixed income markets cooled slightly in January following the strong rally at the end of last year, and the global high yield bond market made a small positive return.</w:t>
            </w:r>
          </w:p>
        </w:tc>
        <w:tc>
          <w:tcPr>
            <w:tcW w:w="360" w:type="dxa"/>
            <w:shd w:val="clear" w:color="auto" w:fill="auto"/>
          </w:tcPr>
          <w:p w:rsidR="00A77B3E">
            <w:pPr>
              <w:pStyle w:val="mqfre"/>
              <w:jc w:val="left"/>
            </w:pPr>
            <w:r>
              <w:rPr>
                <w:noProof w:val="0"/>
              </w:rPr>
              <w:t>&amp; #7 ;les marchés à revenu fixe ont légèrement refroidi en janvier après la forte reprise à la fin de l’année dernière, et le marché mondial des obligations à haut rendement a réalisé un rendement légèrement positif.</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w:t>
              <w:br/>
            </w:r>
            <w:r>
              <w:rPr>
                <w:noProof/>
                <w:sz w:val="2"/>
              </w:rPr>
              <w:t>40ac7901-6021-4996-97bd-2b5cd67cd440</w:t>
            </w:r>
          </w:p>
        </w:tc>
        <w:tc>
          <w:tcPr>
            <w:tcW w:w="360" w:type="dxa"/>
            <w:shd w:val="clear" w:color="auto" w:fill="F2F2F2"/>
          </w:tcPr>
          <w:p w:rsidR="00A77B3E">
            <w:pPr>
              <w:pStyle w:val="mqeng"/>
              <w:jc w:val="left"/>
            </w:pPr>
            <w:r>
              <w:rPr>
                <w:noProof/>
              </w:rPr>
              <w:t>Excess returns were positive.</w:t>
            </w:r>
          </w:p>
        </w:tc>
        <w:tc>
          <w:tcPr>
            <w:tcW w:w="360" w:type="dxa"/>
            <w:shd w:val="clear" w:color="auto" w:fill="auto"/>
          </w:tcPr>
          <w:p w:rsidR="00A77B3E">
            <w:pPr>
              <w:pStyle w:val="mqfre"/>
              <w:jc w:val="left"/>
            </w:pPr>
            <w:r>
              <w:rPr>
                <w:noProof w:val="0"/>
              </w:rPr>
              <w:t>Les rendements excédentaires étaient positifs.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w:t>
              <w:br/>
            </w:r>
            <w:r>
              <w:rPr>
                <w:noProof/>
                <w:sz w:val="2"/>
              </w:rPr>
              <w:t>45a08919-9057-4caa-bbd1-dfedce4c2042</w:t>
            </w:r>
          </w:p>
        </w:tc>
        <w:tc>
          <w:tcPr>
            <w:tcW w:w="360" w:type="dxa"/>
            <w:shd w:val="clear" w:color="auto" w:fill="F2F2F2"/>
          </w:tcPr>
          <w:p w:rsidR="00A77B3E">
            <w:pPr>
              <w:pStyle w:val="mqeng"/>
              <w:jc w:val="left"/>
            </w:pPr>
            <w:r>
              <w:rPr>
                <w:noProof/>
              </w:rPr>
              <w:t>&amp;#7;US high yield bond spreads widened over the month in response to the market's solid performance in the fourth quarter and as stronger-than-expected macroeconomic data dashed investor hopes for earlier interest rate cuts.</w:t>
            </w:r>
          </w:p>
        </w:tc>
        <w:tc>
          <w:tcPr>
            <w:tcW w:w="360" w:type="dxa"/>
            <w:shd w:val="clear" w:color="auto" w:fill="auto"/>
          </w:tcPr>
          <w:p w:rsidR="00A77B3E">
            <w:pPr>
              <w:pStyle w:val="mqfre"/>
              <w:jc w:val="left"/>
            </w:pPr>
            <w:r>
              <w:rPr>
                <w:noProof w:val="0"/>
              </w:rPr>
              <w:t>&amp; #7 ;Les spreads des obligations à haut rendement américaines se sont élargis au cours du mois en réponse à la solide performance du marché au quatrième trimestre et alors que des données macroéconomiques plus fortes que prévu ont douché les espoirs des investisseurs pour des baisses de taux d’intérêt anticipées.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w:t>
              <w:br/>
            </w:r>
            <w:r>
              <w:rPr>
                <w:noProof/>
                <w:sz w:val="2"/>
              </w:rPr>
              <w:t>f865546f-693b-4d47-8c2b-936d8b1eba97</w:t>
            </w:r>
          </w:p>
        </w:tc>
        <w:tc>
          <w:tcPr>
            <w:tcW w:w="360" w:type="dxa"/>
            <w:shd w:val="clear" w:color="auto" w:fill="F2F2F2"/>
          </w:tcPr>
          <w:p w:rsidR="00A77B3E">
            <w:pPr>
              <w:pStyle w:val="mqeng"/>
              <w:jc w:val="left"/>
            </w:pPr>
            <w:r>
              <w:rPr>
                <w:noProof/>
              </w:rPr>
              <w:t>Fourth-quarter GDP in the US grew by a much stronger-than-expected 3.3% (annualised), albeit down from 4.9% in the third quarter, and the jobs market remained buoyant.</w:t>
            </w:r>
          </w:p>
        </w:tc>
        <w:tc>
          <w:tcPr>
            <w:tcW w:w="360" w:type="dxa"/>
            <w:shd w:val="clear" w:color="auto" w:fill="auto"/>
          </w:tcPr>
          <w:p w:rsidR="00A77B3E">
            <w:pPr>
              <w:pStyle w:val="mqfre"/>
              <w:jc w:val="left"/>
            </w:pPr>
            <w:r>
              <w:rPr>
                <w:noProof w:val="0"/>
              </w:rPr>
              <w:t>Au quatrième trimestre, le PIB américain a augmenté de 3,3 % (annualisé), bien que cela soit en baisse par rapport à 4,9 % au troisième trimestre, et le marché de l’emploi est resté dynamique.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w:t>
              <w:br/>
            </w:r>
            <w:r>
              <w:rPr>
                <w:noProof/>
                <w:sz w:val="2"/>
              </w:rPr>
              <w:t>82866df2-6eba-41f9-982f-82d2ad849c9c</w:t>
            </w:r>
          </w:p>
        </w:tc>
        <w:tc>
          <w:tcPr>
            <w:tcW w:w="360" w:type="dxa"/>
            <w:shd w:val="clear" w:color="auto" w:fill="F2F2F2"/>
          </w:tcPr>
          <w:p w:rsidR="00A77B3E">
            <w:pPr>
              <w:pStyle w:val="mqeng"/>
              <w:jc w:val="left"/>
            </w:pPr>
            <w:r>
              <w:rPr>
                <w:noProof/>
              </w:rPr>
              <w:t>The economy's strength continued to fuel the 'soft-landing' narrative of last year, but it also raised doubts during the month about when the US Federal Reserve (Fed) would start to loosen monetary policy.</w:t>
            </w:r>
          </w:p>
        </w:tc>
        <w:tc>
          <w:tcPr>
            <w:tcW w:w="360" w:type="dxa"/>
            <w:shd w:val="clear" w:color="auto" w:fill="auto"/>
          </w:tcPr>
          <w:p w:rsidR="00A77B3E">
            <w:pPr>
              <w:pStyle w:val="mqfre"/>
              <w:jc w:val="left"/>
            </w:pPr>
            <w:r>
              <w:rPr>
                <w:noProof w:val="0"/>
              </w:rPr>
              <w:t>La vigueur de l’économie a continué à alimenter l’idée d’un atterrissage en douceur de l’année dernière, mais elle a également soulevé des doutes au cours du mois sur le moment où la Réserve fédérale américaine (Fed) commencerait à assouplir la politique monétaire.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w:t>
              <w:br/>
            </w:r>
            <w:r>
              <w:rPr>
                <w:noProof/>
                <w:sz w:val="2"/>
              </w:rPr>
              <w:t>498dcbf7-f77c-4e5f-95ac-f5dfeeb35b79</w:t>
            </w:r>
          </w:p>
        </w:tc>
        <w:tc>
          <w:tcPr>
            <w:tcW w:w="360" w:type="dxa"/>
            <w:shd w:val="clear" w:color="auto" w:fill="F2F2F2"/>
          </w:tcPr>
          <w:p w:rsidR="00A77B3E">
            <w:pPr>
              <w:pStyle w:val="mqeng"/>
              <w:jc w:val="left"/>
            </w:pPr>
            <w:r>
              <w:rPr>
                <w:noProof/>
              </w:rPr>
              <w:t>Indeed, the Fed held rates steady at its meeting at month end, and Chair Jerome Powell pushed back on imminent interest rate cuts as inflation remains too high.</w:t>
            </w:r>
          </w:p>
        </w:tc>
        <w:tc>
          <w:tcPr>
            <w:tcW w:w="360" w:type="dxa"/>
            <w:shd w:val="clear" w:color="auto" w:fill="auto"/>
          </w:tcPr>
          <w:p w:rsidR="00A77B3E">
            <w:pPr>
              <w:pStyle w:val="mqfre"/>
              <w:jc w:val="left"/>
            </w:pPr>
            <w:r>
              <w:rPr>
                <w:noProof w:val="0"/>
              </w:rPr>
              <w:t>En effet, la Fed a maintenu les taux stables lors de sa réunion à la fin de mois, et le président Jerome Powell a repoussé les baisses des taux d’intérêt imminentes alors que l’inflation reste trop élevée.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w:t>
              <w:br/>
            </w:r>
            <w:r>
              <w:rPr>
                <w:noProof/>
                <w:sz w:val="2"/>
              </w:rPr>
              <w:t>44b95956-d12d-4464-a556-9abe223759bb</w:t>
            </w:r>
          </w:p>
        </w:tc>
        <w:tc>
          <w:tcPr>
            <w:tcW w:w="360" w:type="dxa"/>
            <w:shd w:val="clear" w:color="auto" w:fill="F2F2F2"/>
          </w:tcPr>
          <w:p w:rsidR="00A77B3E">
            <w:pPr>
              <w:pStyle w:val="mqeng"/>
              <w:jc w:val="left"/>
            </w:pPr>
            <w:r>
              <w:rPr>
                <w:noProof/>
              </w:rPr>
              <w:t>&amp;#7;In Europe, high yield bond spreads tightened as demand for the asset class increased.</w:t>
            </w:r>
          </w:p>
        </w:tc>
        <w:tc>
          <w:tcPr>
            <w:tcW w:w="360" w:type="dxa"/>
            <w:shd w:val="clear" w:color="auto" w:fill="auto"/>
          </w:tcPr>
          <w:p w:rsidR="00A77B3E">
            <w:pPr>
              <w:pStyle w:val="mqfre"/>
              <w:jc w:val="left"/>
            </w:pPr>
            <w:r>
              <w:rPr>
                <w:noProof w:val="0"/>
              </w:rPr>
              <w:t>&amp; #7 ;en Europe, les spreads des obligations à haut rendement se sont resserrés alors que la demande pour cette classe d’actifs augmentait.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w:t>
              <w:br/>
            </w:r>
            <w:r>
              <w:rPr>
                <w:noProof/>
                <w:sz w:val="2"/>
              </w:rPr>
              <w:t>ad4ff76e-9787-4110-a817-e4055723e2f7</w:t>
            </w:r>
          </w:p>
        </w:tc>
        <w:tc>
          <w:tcPr>
            <w:tcW w:w="360" w:type="dxa"/>
            <w:shd w:val="clear" w:color="auto" w:fill="F2F2F2"/>
          </w:tcPr>
          <w:p w:rsidR="00A77B3E">
            <w:pPr>
              <w:pStyle w:val="mqeng"/>
              <w:jc w:val="left"/>
            </w:pPr>
            <w:r>
              <w:rPr>
                <w:noProof/>
              </w:rPr>
              <w:t>The European Central Bank (ECB) also held rates steady, but highlighted easing pricing pressures, which increased expectations that policymakers could loosen monetary policy as early as April.</w:t>
            </w:r>
          </w:p>
        </w:tc>
        <w:tc>
          <w:tcPr>
            <w:tcW w:w="360" w:type="dxa"/>
            <w:shd w:val="clear" w:color="auto" w:fill="auto"/>
          </w:tcPr>
          <w:p w:rsidR="00A77B3E">
            <w:pPr>
              <w:pStyle w:val="mqfre"/>
              <w:jc w:val="left"/>
            </w:pPr>
            <w:r>
              <w:rPr>
                <w:noProof w:val="0"/>
              </w:rPr>
              <w:t>La Banque centrale européenne (BCE) a également maintenu les taux stables, mais a souligné l’atténuation des pressions sur les prix, ce qui a accru les attentes selon lesquelles les responsables politiques pourraient assouplir la politique monétaire dès avril.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w:t>
              <w:br/>
            </w:r>
            <w:r>
              <w:rPr>
                <w:noProof/>
                <w:sz w:val="2"/>
              </w:rPr>
              <w:t>efb1b462-651b-45b0-90a5-5b0ab526ea76</w:t>
            </w:r>
          </w:p>
        </w:tc>
        <w:tc>
          <w:tcPr>
            <w:tcW w:w="360" w:type="dxa"/>
            <w:shd w:val="clear" w:color="auto" w:fill="F2F2F2"/>
          </w:tcPr>
          <w:p w:rsidR="00A77B3E">
            <w:pPr>
              <w:pStyle w:val="mqeng"/>
              <w:jc w:val="left"/>
            </w:pPr>
            <w:r>
              <w:rPr>
                <w:noProof/>
              </w:rPr>
              <w:t>Meanwhile, concerns around supply chains flared up once again, with the US and UK conducted airstrikes on Houthi militants in Yemen following attacks on shipping in the Red Sea.</w:t>
            </w:r>
          </w:p>
        </w:tc>
        <w:tc>
          <w:tcPr>
            <w:tcW w:w="360" w:type="dxa"/>
            <w:shd w:val="clear" w:color="auto" w:fill="auto"/>
          </w:tcPr>
          <w:p w:rsidR="00A77B3E">
            <w:pPr>
              <w:pStyle w:val="mqfre"/>
              <w:jc w:val="left"/>
            </w:pPr>
            <w:r>
              <w:rPr>
                <w:noProof w:val="0"/>
              </w:rPr>
              <w:t>Pendant ce temps, les inquiétudes concernant les chaînes d’approvisionnement ont de nouveau refait surface, les États-Unis et le Royaume-Uni ayant mené des frappes aériennes contre des militants houthis au Yémen à la suite d’attaques contre des navires dans la mer Rouge.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w:t>
              <w:br/>
            </w:r>
            <w:r>
              <w:rPr>
                <w:noProof/>
                <w:sz w:val="2"/>
              </w:rPr>
              <w:t>1df1c4b1-0552-42dc-9b3a-7cf8484b2368</w:t>
            </w:r>
          </w:p>
        </w:tc>
        <w:tc>
          <w:tcPr>
            <w:tcW w:w="360" w:type="dxa"/>
            <w:shd w:val="clear" w:color="auto" w:fill="F2F2F2"/>
          </w:tcPr>
          <w:p w:rsidR="00A77B3E">
            <w:pPr>
              <w:pStyle w:val="mqeng"/>
              <w:jc w:val="left"/>
            </w:pPr>
            <w:r>
              <w:rPr>
                <w:noProof/>
              </w:rPr>
              <w:t>&amp;#7;European and emerging market high yield bonds performed positively and broadly in line, while US high yield posted a negative excess return.</w:t>
            </w:r>
          </w:p>
        </w:tc>
        <w:tc>
          <w:tcPr>
            <w:tcW w:w="360" w:type="dxa"/>
            <w:shd w:val="clear" w:color="auto" w:fill="auto"/>
          </w:tcPr>
          <w:p w:rsidR="00A77B3E">
            <w:pPr>
              <w:pStyle w:val="mqfre"/>
              <w:jc w:val="left"/>
            </w:pPr>
            <w:r>
              <w:rPr>
                <w:noProof w:val="0"/>
              </w:rPr>
              <w:t>&amp; #7 ;Les obligations à haut rendement européennes et émergentes ont affiché des performances positives et globalement conformes, tandis que le haut rendement américain a enregistré un rendement excédentaire négatif.</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w:t>
              <w:br/>
            </w:r>
            <w:r>
              <w:rPr>
                <w:noProof/>
                <w:sz w:val="2"/>
              </w:rPr>
              <w:t>361a965f-6940-4419-b955-4e8ba1914e38</w:t>
            </w:r>
          </w:p>
        </w:tc>
        <w:tc>
          <w:tcPr>
            <w:tcW w:w="360" w:type="dxa"/>
            <w:shd w:val="clear" w:color="auto" w:fill="F2F2F2"/>
          </w:tcPr>
          <w:p w:rsidR="00A77B3E">
            <w:pPr>
              <w:pStyle w:val="mqeng"/>
              <w:jc w:val="left"/>
            </w:pPr>
            <w:r>
              <w:rPr>
                <w:noProof/>
              </w:rPr>
              <w:t>All rating categories in the US posted negative excess returns, with BB-rated bonds performing the best and CCC-rated bonds performing the worst.</w:t>
            </w:r>
          </w:p>
        </w:tc>
        <w:tc>
          <w:tcPr>
            <w:tcW w:w="360" w:type="dxa"/>
            <w:shd w:val="clear" w:color="auto" w:fill="auto"/>
          </w:tcPr>
          <w:p w:rsidR="00A77B3E">
            <w:pPr>
              <w:pStyle w:val="mqfre"/>
              <w:jc w:val="left"/>
            </w:pPr>
            <w:r>
              <w:rPr>
                <w:noProof w:val="0"/>
              </w:rPr>
              <w:t>Toutes les catégories de notation aux États-Unis ont affiché des rendements excédentaires négatifs, les obligations notées BB ayant réalisé les meilleures performances et les obligations notées CCC ayant enregistré les pires performances.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w:t>
              <w:br/>
            </w:r>
            <w:r>
              <w:rPr>
                <w:noProof/>
                <w:sz w:val="2"/>
              </w:rPr>
              <w:t>76ddf321-6060-495b-be35-9f17e9946745</w:t>
            </w:r>
          </w:p>
        </w:tc>
        <w:tc>
          <w:tcPr>
            <w:tcW w:w="360" w:type="dxa"/>
            <w:shd w:val="clear" w:color="auto" w:fill="F2F2F2"/>
          </w:tcPr>
          <w:p w:rsidR="00A77B3E">
            <w:pPr>
              <w:pStyle w:val="mqeng"/>
              <w:jc w:val="left"/>
            </w:pPr>
            <w:r>
              <w:rPr>
                <w:noProof/>
              </w:rPr>
              <w:t>In Europe, CCC-rated bonds performed the best, followed by B-rated bonds and then BB-rated bonds.</w:t>
            </w:r>
          </w:p>
        </w:tc>
        <w:tc>
          <w:tcPr>
            <w:tcW w:w="360" w:type="dxa"/>
            <w:shd w:val="clear" w:color="auto" w:fill="auto"/>
          </w:tcPr>
          <w:p w:rsidR="00A77B3E">
            <w:pPr>
              <w:pStyle w:val="mqfre"/>
              <w:jc w:val="left"/>
            </w:pPr>
            <w:r>
              <w:rPr>
                <w:noProof w:val="0"/>
              </w:rPr>
              <w:t>En Europe, les obligations notées CCC ont enregistré les meilleures performances, suivies des obligations notées B puis des obligations notées BB.</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w:t>
              <w:br/>
            </w:r>
            <w:r>
              <w:rPr>
                <w:noProof/>
                <w:sz w:val="2"/>
              </w:rPr>
              <w:t>542a98fc-6d8f-4b0d-a2b2-c1b3f75487c0</w:t>
            </w:r>
          </w:p>
        </w:tc>
        <w:tc>
          <w:tcPr>
            <w:tcW w:w="360" w:type="dxa"/>
            <w:shd w:val="clear" w:color="auto" w:fill="F2F2F2"/>
          </w:tcPr>
          <w:p w:rsidR="00A77B3E">
            <w:pPr>
              <w:pStyle w:val="mqeng"/>
              <w:jc w:val="left"/>
            </w:pPr>
            <w:r>
              <w:rPr>
                <w:b/>
                <w:i w:val="0"/>
                <w:noProof/>
                <w:u w:val="none"/>
                <w:vertAlign w:val="baseline"/>
              </w:rPr>
              <w:t>Portfolio review</w:t>
            </w:r>
          </w:p>
        </w:tc>
        <w:tc>
          <w:tcPr>
            <w:tcW w:w="360" w:type="dxa"/>
            <w:shd w:val="clear" w:color="auto" w:fill="auto"/>
          </w:tcPr>
          <w:p w:rsidR="00A77B3E">
            <w:pPr>
              <w:pStyle w:val="mqfre"/>
              <w:jc w:val="left"/>
            </w:pPr>
            <w:r>
              <w:rPr>
                <w:b/>
                <w:i w:val="0"/>
                <w:noProof w:val="0"/>
                <w:u w:val="none"/>
                <w:vertAlign w:val="baseline"/>
              </w:rPr>
              <w:t>Revue du portefeuille</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(98%)</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w:t>
              <w:br/>
            </w:r>
            <w:r>
              <w:rPr>
                <w:noProof/>
                <w:sz w:val="2"/>
              </w:rPr>
              <w:t>66a6203c-a9d6-4e53-a6fd-aec62d4907f7</w:t>
            </w:r>
          </w:p>
        </w:tc>
        <w:tc>
          <w:tcPr>
            <w:tcW w:w="360" w:type="dxa"/>
            <w:shd w:val="clear" w:color="auto" w:fill="F2F2F2"/>
          </w:tcPr>
          <w:p w:rsidR="00A77B3E">
            <w:pPr>
              <w:pStyle w:val="mqeng"/>
              <w:jc w:val="left"/>
            </w:pPr>
            <w:r>
              <w:rPr>
                <w:noProof/>
              </w:rPr>
              <w:t>Security selection was the key driver of outperformance while sector allocation also contributed positively.</w:t>
            </w:r>
          </w:p>
        </w:tc>
        <w:tc>
          <w:tcPr>
            <w:tcW w:w="360" w:type="dxa"/>
            <w:shd w:val="clear" w:color="auto" w:fill="auto"/>
          </w:tcPr>
          <w:p w:rsidR="00A77B3E">
            <w:pPr>
              <w:pStyle w:val="mqfre"/>
              <w:jc w:val="left"/>
            </w:pPr>
            <w:r>
              <w:rPr>
                <w:noProof w:val="0"/>
              </w:rPr>
              <w:t>La sélection des titres a été le principal moteur de surperformance tandis que l’allocation sectorielle a également contribué positivement.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w:t>
              <w:br/>
            </w:r>
            <w:r>
              <w:rPr>
                <w:noProof/>
                <w:sz w:val="2"/>
              </w:rPr>
              <w:t>eb0e8245-dd99-406e-ba5e-e0fbf0536d15</w:t>
            </w:r>
          </w:p>
        </w:tc>
        <w:tc>
          <w:tcPr>
            <w:tcW w:w="360" w:type="dxa"/>
            <w:shd w:val="clear" w:color="auto" w:fill="F2F2F2"/>
          </w:tcPr>
          <w:p w:rsidR="00A77B3E">
            <w:pPr>
              <w:pStyle w:val="mqeng"/>
              <w:jc w:val="left"/>
            </w:pPr>
            <w:r>
              <w:rPr>
                <w:noProof/>
              </w:rPr>
              <w:t>At the sector level, underweight positions in media and telecommunications contributed positively to performance.</w:t>
            </w:r>
          </w:p>
        </w:tc>
        <w:tc>
          <w:tcPr>
            <w:tcW w:w="360" w:type="dxa"/>
            <w:shd w:val="clear" w:color="auto" w:fill="auto"/>
          </w:tcPr>
          <w:p w:rsidR="00A77B3E">
            <w:pPr>
              <w:pStyle w:val="mqfre"/>
              <w:jc w:val="left"/>
            </w:pPr>
            <w:r>
              <w:rPr>
                <w:noProof w:val="0"/>
              </w:rPr>
              <w:t>Au niveau sectoriel, les sous-pondérations dans les médias et les télécommunications ont contribué positivement à la performance.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w:t>
              <w:br/>
            </w:r>
            <w:r>
              <w:rPr>
                <w:noProof/>
                <w:sz w:val="2"/>
              </w:rPr>
              <w:t>c4acae9a-964f-4ccc-87ea-570c8d76ee70</w:t>
            </w:r>
          </w:p>
        </w:tc>
        <w:tc>
          <w:tcPr>
            <w:tcW w:w="360" w:type="dxa"/>
            <w:shd w:val="clear" w:color="auto" w:fill="F2F2F2"/>
          </w:tcPr>
          <w:p w:rsidR="00A77B3E">
            <w:pPr>
              <w:pStyle w:val="mqeng"/>
              <w:jc w:val="left"/>
            </w:pPr>
            <w:r>
              <w:rPr>
                <w:noProof/>
              </w:rPr>
              <w:t>An underweight position in real estate detracted, as the sector was one of the best performing in January.</w:t>
            </w:r>
          </w:p>
        </w:tc>
        <w:tc>
          <w:tcPr>
            <w:tcW w:w="360" w:type="dxa"/>
            <w:shd w:val="clear" w:color="auto" w:fill="auto"/>
          </w:tcPr>
          <w:p w:rsidR="00A77B3E">
            <w:pPr>
              <w:pStyle w:val="mqfre"/>
              <w:jc w:val="left"/>
            </w:pPr>
            <w:r>
              <w:rPr>
                <w:noProof w:val="0"/>
              </w:rPr>
              <w:t>Une sous-pondération dans l’immobilier a nui, car le secteur était l’un des meilleurs en termes de performance en janvier.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w:t>
              <w:br/>
            </w:r>
            <w:r>
              <w:rPr>
                <w:noProof/>
                <w:sz w:val="2"/>
              </w:rPr>
              <w:t>89f933e4-0290-4775-9d51-63778f9592dd</w:t>
            </w:r>
          </w:p>
        </w:tc>
        <w:tc>
          <w:tcPr>
            <w:tcW w:w="360" w:type="dxa"/>
            <w:shd w:val="clear" w:color="auto" w:fill="F2F2F2"/>
          </w:tcPr>
          <w:p w:rsidR="00A77B3E">
            <w:pPr>
              <w:pStyle w:val="mqeng"/>
              <w:jc w:val="left"/>
            </w:pPr>
            <w:r>
              <w:rPr>
                <w:noProof/>
              </w:rPr>
              <w:t>However, the fund benefited from strongly positive security selection here.</w:t>
            </w:r>
          </w:p>
        </w:tc>
        <w:tc>
          <w:tcPr>
            <w:tcW w:w="360" w:type="dxa"/>
            <w:shd w:val="clear" w:color="auto" w:fill="auto"/>
          </w:tcPr>
          <w:p w:rsidR="00A77B3E">
            <w:pPr>
              <w:pStyle w:val="mqfre"/>
              <w:jc w:val="left"/>
            </w:pPr>
            <w:r>
              <w:rPr>
                <w:noProof w:val="0"/>
              </w:rPr>
              <w:t>Cependant, le fonds a bénéficié d’une sélection de titres fortement positive ici.</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w:t>
              <w:br/>
            </w:r>
            <w:r>
              <w:rPr>
                <w:noProof/>
                <w:sz w:val="2"/>
              </w:rPr>
              <w:t>9c773e4c-d4b8-47b6-8b43-43e50cc26c2c</w:t>
            </w:r>
          </w:p>
        </w:tc>
        <w:tc>
          <w:tcPr>
            <w:tcW w:w="360" w:type="dxa"/>
            <w:shd w:val="clear" w:color="auto" w:fill="F2F2F2"/>
          </w:tcPr>
          <w:p w:rsidR="00A77B3E">
            <w:pPr>
              <w:pStyle w:val="mqeng"/>
              <w:jc w:val="left"/>
            </w:pPr>
            <w:r>
              <w:rPr>
                <w:noProof/>
              </w:rPr>
              <w:t>Security selection in telecommunications, technology and electronics and retail also added value, while security selection in capital goods hurt returns.</w:t>
            </w:r>
          </w:p>
        </w:tc>
        <w:tc>
          <w:tcPr>
            <w:tcW w:w="360" w:type="dxa"/>
            <w:shd w:val="clear" w:color="auto" w:fill="auto"/>
          </w:tcPr>
          <w:p w:rsidR="00A77B3E">
            <w:pPr>
              <w:pStyle w:val="mqfre"/>
              <w:jc w:val="left"/>
            </w:pPr>
            <w:r>
              <w:rPr>
                <w:noProof w:val="0"/>
              </w:rPr>
              <w:t>La sélection de titres dans les télécommunications, la technologie et l’électronique ainsi que dans la vente au détail a également ajouté de la valeur, tandis que la sélection de titres dans les biens d’équipement a nui aux rendements.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w:t>
              <w:br/>
            </w:r>
            <w:r>
              <w:rPr>
                <w:noProof/>
                <w:sz w:val="2"/>
              </w:rPr>
              <w:t>989e3eb2-434e-4949-b31d-d1bf79e8358e</w:t>
            </w:r>
          </w:p>
        </w:tc>
        <w:tc>
          <w:tcPr>
            <w:tcW w:w="360" w:type="dxa"/>
            <w:shd w:val="clear" w:color="auto" w:fill="F2F2F2"/>
          </w:tcPr>
          <w:p w:rsidR="00A77B3E">
            <w:pPr>
              <w:pStyle w:val="mqeng"/>
              <w:jc w:val="left"/>
            </w:pPr>
            <w:r>
              <w:rPr>
                <w:noProof/>
              </w:rPr>
              <w:t>Regionally, security selection in Europe and North America contributed positively to performance, while security selection in emerging markets detracted.</w:t>
            </w:r>
          </w:p>
        </w:tc>
        <w:tc>
          <w:tcPr>
            <w:tcW w:w="360" w:type="dxa"/>
            <w:shd w:val="clear" w:color="auto" w:fill="auto"/>
          </w:tcPr>
          <w:p w:rsidR="00A77B3E">
            <w:pPr>
              <w:pStyle w:val="mqfre"/>
              <w:jc w:val="left"/>
            </w:pPr>
            <w:r>
              <w:rPr>
                <w:noProof w:val="0"/>
              </w:rPr>
              <w:t>Régionalement, la sélection de titres en Europe et en Amérique du Nord a contribué positivement à la performance, tandis que la sélection des titres sur les marchés émergents a eu un impact négatif.</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w:t>
              <w:br/>
            </w:r>
            <w:r>
              <w:rPr>
                <w:noProof/>
                <w:sz w:val="2"/>
              </w:rPr>
              <w:t>01faa0e6-8223-4b42-a1be-a0de4396d9be</w:t>
            </w:r>
          </w:p>
        </w:tc>
        <w:tc>
          <w:tcPr>
            <w:tcW w:w="360" w:type="dxa"/>
            <w:shd w:val="clear" w:color="auto" w:fill="F2F2F2"/>
          </w:tcPr>
          <w:p w:rsidR="00A77B3E">
            <w:pPr>
              <w:pStyle w:val="mqeng"/>
              <w:jc w:val="left"/>
            </w:pPr>
            <w:r>
              <w:rPr>
                <w:noProof/>
              </w:rPr>
              <w:t>At the issuer level, the fund's overweight position in European REIT CPI Property contributed strongly to returns.</w:t>
            </w:r>
          </w:p>
        </w:tc>
        <w:tc>
          <w:tcPr>
            <w:tcW w:w="360" w:type="dxa"/>
            <w:shd w:val="clear" w:color="auto" w:fill="auto"/>
          </w:tcPr>
          <w:p w:rsidR="00A77B3E">
            <w:pPr>
              <w:pStyle w:val="mqfre"/>
              <w:jc w:val="left"/>
            </w:pPr>
            <w:r>
              <w:rPr>
                <w:noProof w:val="0"/>
              </w:rPr>
              <w:t>Au niveau des émetteurs, la surpondération du fonds dans le REIT européen CPI Property a fortement contribué aux rendements.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w:t>
              <w:br/>
            </w:r>
            <w:r>
              <w:rPr>
                <w:noProof/>
                <w:sz w:val="2"/>
              </w:rPr>
              <w:t>ca96dffa-7917-449f-b24d-a681c382f1d1</w:t>
            </w:r>
          </w:p>
        </w:tc>
        <w:tc>
          <w:tcPr>
            <w:tcW w:w="360" w:type="dxa"/>
            <w:shd w:val="clear" w:color="auto" w:fill="F2F2F2"/>
          </w:tcPr>
          <w:p w:rsidR="00A77B3E">
            <w:pPr>
              <w:pStyle w:val="mqeng"/>
              <w:jc w:val="left"/>
            </w:pPr>
            <w:r>
              <w:rPr>
                <w:noProof/>
              </w:rPr>
              <w:t>CPI underperformed in 2023, as the high interest rate environment put pressure on its business model and following December's news that Muddy waters (the short-selling hedge fund) had bet against it.</w:t>
            </w:r>
          </w:p>
        </w:tc>
        <w:tc>
          <w:tcPr>
            <w:tcW w:w="360" w:type="dxa"/>
            <w:shd w:val="clear" w:color="auto" w:fill="auto"/>
          </w:tcPr>
          <w:p w:rsidR="00A77B3E">
            <w:pPr>
              <w:pStyle w:val="mqfre"/>
              <w:jc w:val="left"/>
            </w:pPr>
            <w:r>
              <w:rPr>
                <w:noProof w:val="0"/>
              </w:rPr>
              <w:t>L’IPC a sous-performé en 2023, car l’environnement de taux d’intérêt élevés a exercé une pression sur son modèle commercial, suite à l’annonce de décembre selon laquelle Muddy Waters (le fonds spéculatif à la baisse) avait parié contre lui.</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w:t>
              <w:br/>
            </w:r>
            <w:r>
              <w:rPr>
                <w:noProof/>
                <w:sz w:val="2"/>
              </w:rPr>
              <w:t>e3a7f005-7594-4b85-b028-16644087b83c</w:t>
            </w:r>
          </w:p>
        </w:tc>
        <w:tc>
          <w:tcPr>
            <w:tcW w:w="360" w:type="dxa"/>
            <w:shd w:val="clear" w:color="auto" w:fill="F2F2F2"/>
          </w:tcPr>
          <w:p w:rsidR="00A77B3E">
            <w:pPr>
              <w:pStyle w:val="mqeng"/>
              <w:jc w:val="left"/>
            </w:pPr>
            <w:r>
              <w:rPr>
                <w:noProof/>
              </w:rPr>
              <w:t>However, its spread tightened significantly in January, alongside the broader REIT sector, as investor expectations for a cut in interest rates deepened.</w:t>
            </w:r>
          </w:p>
        </w:tc>
        <w:tc>
          <w:tcPr>
            <w:tcW w:w="360" w:type="dxa"/>
            <w:shd w:val="clear" w:color="auto" w:fill="auto"/>
          </w:tcPr>
          <w:p w:rsidR="00A77B3E">
            <w:pPr>
              <w:pStyle w:val="mqfre"/>
              <w:jc w:val="left"/>
            </w:pPr>
            <w:r>
              <w:rPr>
                <w:noProof w:val="0"/>
              </w:rPr>
              <w:t>Cependant, son spread s’est considérablement resserré en janvier, parallèlement au secteur des REIT, alors que les attentes des investisseurs concernant une baisse des taux d’intérêt se sont intensifiées.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w:t>
              <w:br/>
            </w:r>
            <w:r>
              <w:rPr>
                <w:noProof/>
                <w:sz w:val="2"/>
              </w:rPr>
              <w:t>a44e1a53-030a-4b78-8da6-a5aaeb18d98b</w:t>
            </w:r>
          </w:p>
        </w:tc>
        <w:tc>
          <w:tcPr>
            <w:tcW w:w="360" w:type="dxa"/>
            <w:shd w:val="clear" w:color="auto" w:fill="F2F2F2"/>
          </w:tcPr>
          <w:p w:rsidR="00A77B3E">
            <w:pPr>
              <w:pStyle w:val="mqeng"/>
              <w:jc w:val="left"/>
            </w:pPr>
            <w:r>
              <w:rPr>
                <w:noProof/>
              </w:rPr>
              <w:t>Elsewhere, an overweight position in UK energy company EDF contributed positively to performance, despite news flow in January around increased costs for its nuclear plant currently being built in the UK.</w:t>
            </w:r>
          </w:p>
        </w:tc>
        <w:tc>
          <w:tcPr>
            <w:tcW w:w="360" w:type="dxa"/>
            <w:shd w:val="clear" w:color="auto" w:fill="auto"/>
          </w:tcPr>
          <w:p w:rsidR="00A77B3E">
            <w:pPr>
              <w:pStyle w:val="mqfre"/>
              <w:jc w:val="left"/>
            </w:pPr>
            <w:r>
              <w:rPr>
                <w:noProof w:val="0"/>
              </w:rPr>
              <w:t>Ailleurs, une surpondération dans la société énergétique britannique EDF a contribué positivement à la performance, malgré le flux de nouvelles en janvier concernant l’augmentation des coûts de son usine nucléaire actuellement en construction au Royaume-Uni.</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w:t>
              <w:br/>
            </w:r>
            <w:r>
              <w:rPr>
                <w:noProof/>
                <w:sz w:val="2"/>
              </w:rPr>
              <w:t>c09a99e7-f564-42e2-95da-e2af6641e9cb</w:t>
            </w:r>
          </w:p>
        </w:tc>
        <w:tc>
          <w:tcPr>
            <w:tcW w:w="360" w:type="dxa"/>
            <w:shd w:val="clear" w:color="auto" w:fill="F2F2F2"/>
          </w:tcPr>
          <w:p w:rsidR="00A77B3E">
            <w:pPr>
              <w:pStyle w:val="mqeng"/>
              <w:jc w:val="left"/>
            </w:pPr>
            <w:r>
              <w:rPr>
                <w:noProof/>
              </w:rPr>
              <w:t>Not holding US television provider Dish Network, France-based information technology company Atos and construction engineering firm CSC also helped returns.</w:t>
            </w:r>
          </w:p>
        </w:tc>
        <w:tc>
          <w:tcPr>
            <w:tcW w:w="360" w:type="dxa"/>
            <w:shd w:val="clear" w:color="auto" w:fill="auto"/>
          </w:tcPr>
          <w:p w:rsidR="00A77B3E">
            <w:pPr>
              <w:pStyle w:val="mqfre"/>
              <w:jc w:val="left"/>
            </w:pPr>
            <w:r>
              <w:rPr>
                <w:noProof w:val="0"/>
              </w:rPr>
              <w:t>Ne détenant pas le fournisseur de télévision américain Dish Network, la société française de technologies de l’information Atos et la société d’ingénierie de construction CSC ont également contribué aux rendements.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w:t>
              <w:br/>
            </w:r>
            <w:r>
              <w:rPr>
                <w:noProof/>
                <w:sz w:val="2"/>
              </w:rPr>
              <w:t>c41cd494-c2e8-4acf-ad47-5d7c18fed8cd</w:t>
            </w:r>
          </w:p>
        </w:tc>
        <w:tc>
          <w:tcPr>
            <w:tcW w:w="360" w:type="dxa"/>
            <w:shd w:val="clear" w:color="auto" w:fill="F2F2F2"/>
          </w:tcPr>
          <w:p w:rsidR="00A77B3E">
            <w:pPr>
              <w:pStyle w:val="mqeng"/>
              <w:jc w:val="left"/>
            </w:pPr>
            <w:r>
              <w:rPr>
                <w:noProof/>
              </w:rPr>
              <w:t>Conversely, overweight positions in paper and packaging company LABL, Mexico City International Airport, which is an emerging market corporate issuer, and US television network Univision hurt returns.</w:t>
            </w:r>
          </w:p>
        </w:tc>
        <w:tc>
          <w:tcPr>
            <w:tcW w:w="360" w:type="dxa"/>
            <w:shd w:val="clear" w:color="auto" w:fill="auto"/>
          </w:tcPr>
          <w:p w:rsidR="00A77B3E">
            <w:pPr>
              <w:pStyle w:val="mqfre"/>
              <w:jc w:val="left"/>
            </w:pPr>
            <w:r>
              <w:rPr>
                <w:noProof w:val="0"/>
              </w:rPr>
              <w:t>Inversement, les positions surpondérées dans la société de papier et d’emballage LABL, l’aéroport international de Mexico, qui est un émetteur de sociétés des marchés émergents, et le réseau de télévision américain Univision pesé sur les rendements.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w:t>
              <w:br/>
            </w:r>
            <w:r>
              <w:rPr>
                <w:noProof/>
                <w:sz w:val="2"/>
              </w:rPr>
              <w:t>419e9316-9c17-4c0f-a7b4-e81bda607eb5</w:t>
            </w:r>
          </w:p>
        </w:tc>
        <w:tc>
          <w:tcPr>
            <w:tcW w:w="360" w:type="dxa"/>
            <w:shd w:val="clear" w:color="auto" w:fill="F2F2F2"/>
          </w:tcPr>
          <w:p w:rsidR="00A77B3E">
            <w:pPr>
              <w:pStyle w:val="mqeng"/>
              <w:jc w:val="left"/>
            </w:pPr>
            <w:r>
              <w:rPr>
                <w:noProof/>
              </w:rPr>
              <w:t>Not holding some issuers that rallied during the month also weighed on relative returns, including chemicals company Chart Industries and European real estate company Heimstaden Bostad.</w:t>
            </w:r>
          </w:p>
        </w:tc>
        <w:tc>
          <w:tcPr>
            <w:tcW w:w="360" w:type="dxa"/>
            <w:shd w:val="clear" w:color="auto" w:fill="auto"/>
          </w:tcPr>
          <w:p w:rsidR="00A77B3E">
            <w:pPr>
              <w:pStyle w:val="mqfre"/>
              <w:jc w:val="left"/>
            </w:pPr>
            <w:r>
              <w:rPr>
                <w:noProof w:val="0"/>
              </w:rPr>
              <w:t>Ne pas détenir certains émetteurs qui se sont redressés au cours du mois a également pesé sur les rendements relatifs, y compris la société de produits chimiques Chart Industries et la société immobilière européenne Heimstaden Bostad.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w:t>
              <w:br/>
            </w:r>
            <w:r>
              <w:rPr>
                <w:noProof/>
                <w:sz w:val="2"/>
              </w:rPr>
              <w:t>303d697d-1be4-414a-9c59-8a4965489c9f</w:t>
            </w:r>
          </w:p>
        </w:tc>
        <w:tc>
          <w:tcPr>
            <w:tcW w:w="360" w:type="dxa"/>
            <w:shd w:val="clear" w:color="auto" w:fill="F2F2F2"/>
          </w:tcPr>
          <w:p w:rsidR="00A77B3E">
            <w:pPr>
              <w:pStyle w:val="mqeng"/>
              <w:jc w:val="left"/>
            </w:pPr>
            <w:r>
              <w:rPr>
                <w:noProof/>
              </w:rPr>
              <w:t>We added some new issues to the fund during the month, including real estate logistics company Logicor and UK chemicals firm Ineos.</w:t>
            </w:r>
          </w:p>
        </w:tc>
        <w:tc>
          <w:tcPr>
            <w:tcW w:w="360" w:type="dxa"/>
            <w:shd w:val="clear" w:color="auto" w:fill="auto"/>
          </w:tcPr>
          <w:p w:rsidR="00A77B3E">
            <w:pPr>
              <w:pStyle w:val="mqfre"/>
              <w:jc w:val="left"/>
            </w:pPr>
            <w:r>
              <w:rPr>
                <w:noProof w:val="0"/>
              </w:rPr>
              <w:t>Nous avons ajouté quelques nouvelles émissions au fonds au cours du mois, y compris la société logistique immobilière Logicor et la société britannique de produits chimiques Ineos.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w:t>
              <w:br/>
            </w:r>
            <w:r>
              <w:rPr>
                <w:noProof/>
                <w:sz w:val="2"/>
              </w:rPr>
              <w:t>0593fc94-6746-4323-98a6-0f2c6ecf33bc</w:t>
            </w:r>
          </w:p>
        </w:tc>
        <w:tc>
          <w:tcPr>
            <w:tcW w:w="360" w:type="dxa"/>
            <w:shd w:val="clear" w:color="auto" w:fill="F2F2F2"/>
          </w:tcPr>
          <w:p w:rsidR="00A77B3E">
            <w:pPr>
              <w:pStyle w:val="mqeng"/>
              <w:jc w:val="left"/>
            </w:pPr>
            <w:r>
              <w:rPr>
                <w:noProof/>
              </w:rPr>
              <w:t>Elsewhere, the automotive sector was hit hard at the beginning of 2023 with spreads widening, so we added a new bond from German automotive company Schaeffler, which was attractively priced.</w:t>
            </w:r>
          </w:p>
        </w:tc>
        <w:tc>
          <w:tcPr>
            <w:tcW w:w="360" w:type="dxa"/>
            <w:shd w:val="clear" w:color="auto" w:fill="auto"/>
          </w:tcPr>
          <w:p w:rsidR="00A77B3E">
            <w:pPr>
              <w:pStyle w:val="mqfre"/>
              <w:jc w:val="left"/>
            </w:pPr>
            <w:r>
              <w:rPr>
                <w:noProof w:val="0"/>
              </w:rPr>
              <w:t>Ailleurs, le secteur automobile a été durement touché au début de 2023 avec un élargissement des spreads, nous avons donc ajouté une nouvelle obligation de la société automobile allemande Schaeffler, qui était à prix intéressants.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w:t>
              <w:br/>
            </w:r>
            <w:r>
              <w:rPr>
                <w:noProof/>
                <w:sz w:val="2"/>
              </w:rPr>
              <w:t>e1a4ba08-1de0-4930-b38b-9fab2efb1440</w:t>
            </w:r>
          </w:p>
        </w:tc>
        <w:tc>
          <w:tcPr>
            <w:tcW w:w="360" w:type="dxa"/>
            <w:shd w:val="clear" w:color="auto" w:fill="F2F2F2"/>
          </w:tcPr>
          <w:p w:rsidR="00A77B3E">
            <w:pPr>
              <w:pStyle w:val="mqeng"/>
              <w:jc w:val="left"/>
            </w:pPr>
            <w:r>
              <w:rPr>
                <w:noProof/>
              </w:rPr>
              <w:t>We increased the fund's exposure in housebuilder Miller Homes, as we like the outlook for its business, given sustained demand for new build homes and as mortgage rates begin to fall.</w:t>
            </w:r>
          </w:p>
        </w:tc>
        <w:tc>
          <w:tcPr>
            <w:tcW w:w="360" w:type="dxa"/>
            <w:shd w:val="clear" w:color="auto" w:fill="auto"/>
          </w:tcPr>
          <w:p w:rsidR="00A77B3E">
            <w:pPr>
              <w:pStyle w:val="mqfre"/>
              <w:jc w:val="left"/>
            </w:pPr>
            <w:r>
              <w:rPr>
                <w:noProof w:val="0"/>
              </w:rPr>
              <w:t>Nous avons augmenté l’exposition du fonds dans les constructeurs de maisons Miller Homes, car nous apprécions les perspectives de son activité, compte tenu de la demande soutenue pour les nouveaux logements de construction et alors que les taux hypothécaires commencent à baisser.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w:t>
              <w:br/>
            </w:r>
            <w:r>
              <w:rPr>
                <w:noProof/>
                <w:sz w:val="2"/>
              </w:rPr>
              <w:t>d087cb22-0a8d-4b08-9f82-1ec7376ccd1d</w:t>
            </w:r>
          </w:p>
        </w:tc>
        <w:tc>
          <w:tcPr>
            <w:tcW w:w="360" w:type="dxa"/>
            <w:shd w:val="clear" w:color="auto" w:fill="F2F2F2"/>
          </w:tcPr>
          <w:p w:rsidR="00A77B3E">
            <w:pPr>
              <w:pStyle w:val="mqeng"/>
              <w:jc w:val="left"/>
            </w:pPr>
            <w:r>
              <w:rPr>
                <w:b/>
                <w:i w:val="0"/>
                <w:noProof/>
                <w:u w:val="none"/>
                <w:vertAlign w:val="baseline"/>
              </w:rPr>
              <w:t>Contributors/detractors</w:t>
            </w:r>
          </w:p>
        </w:tc>
        <w:tc>
          <w:tcPr>
            <w:tcW w:w="360" w:type="dxa"/>
            <w:shd w:val="clear" w:color="auto" w:fill="auto"/>
          </w:tcPr>
          <w:p w:rsidR="00A77B3E">
            <w:pPr>
              <w:pStyle w:val="mqfre"/>
              <w:jc w:val="left"/>
            </w:pPr>
            <w:r>
              <w:rPr>
                <w:b/>
                <w:i w:val="0"/>
                <w:noProof w:val="0"/>
                <w:u w:val="none"/>
                <w:vertAlign w:val="baseline"/>
              </w:rPr>
              <w:t>Contributeurs/détracteurs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w:t>
              <w:br/>
            </w:r>
            <w:r>
              <w:rPr>
                <w:noProof/>
                <w:sz w:val="2"/>
              </w:rPr>
              <w:t>2e1361f2-4494-4b2d-b863-91c21daf34ee</w:t>
            </w:r>
          </w:p>
        </w:tc>
        <w:tc>
          <w:tcPr>
            <w:tcW w:w="360" w:type="dxa"/>
            <w:shd w:val="clear" w:color="auto" w:fill="F2F2F2"/>
          </w:tcPr>
          <w:p w:rsidR="00A77B3E">
            <w:pPr>
              <w:pStyle w:val="mqeng"/>
              <w:jc w:val="left"/>
            </w:pPr>
            <w:r>
              <w:rPr>
                <w:noProof/>
              </w:rPr>
              <w:t>Security selection was the key driver of outperformance while sector allocation also contributed positively.</w:t>
            </w:r>
          </w:p>
        </w:tc>
        <w:tc>
          <w:tcPr>
            <w:tcW w:w="360" w:type="dxa"/>
            <w:shd w:val="clear" w:color="auto" w:fill="auto"/>
          </w:tcPr>
          <w:p w:rsidR="00A77B3E">
            <w:pPr>
              <w:pStyle w:val="mqfre"/>
              <w:jc w:val="left"/>
            </w:pPr>
            <w:r>
              <w:rPr>
                <w:noProof w:val="0"/>
              </w:rPr>
              <w:t>La sélection des titres a été le principal moteur de la surperformance, tandis que l’allocation sectorielle a également contribué positivement.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w:t>
              <w:br/>
            </w:r>
            <w:r>
              <w:rPr>
                <w:noProof/>
                <w:sz w:val="2"/>
              </w:rPr>
              <w:t>70465f54-1677-4b3c-8798-2e1f5f665c67</w:t>
            </w:r>
          </w:p>
        </w:tc>
        <w:tc>
          <w:tcPr>
            <w:tcW w:w="360" w:type="dxa"/>
            <w:shd w:val="clear" w:color="auto" w:fill="F2F2F2"/>
          </w:tcPr>
          <w:p w:rsidR="00A77B3E">
            <w:pPr>
              <w:pStyle w:val="mqeng"/>
              <w:jc w:val="left"/>
            </w:pPr>
            <w:r>
              <w:rPr>
                <w:b/>
                <w:i w:val="0"/>
                <w:noProof/>
                <w:u w:val="none"/>
                <w:vertAlign w:val="baseline"/>
              </w:rPr>
              <w:t>Outlook</w:t>
            </w:r>
          </w:p>
        </w:tc>
        <w:tc>
          <w:tcPr>
            <w:tcW w:w="360" w:type="dxa"/>
            <w:shd w:val="clear" w:color="auto" w:fill="auto"/>
          </w:tcPr>
          <w:p w:rsidR="00A77B3E">
            <w:pPr>
              <w:pStyle w:val="mqfre"/>
              <w:jc w:val="left"/>
            </w:pPr>
            <w:r>
              <w:rPr>
                <w:b/>
                <w:i w:val="0"/>
                <w:noProof w:val="0"/>
                <w:u w:val="none"/>
                <w:vertAlign w:val="baseline"/>
              </w:rPr>
              <w:t>Perspectives</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w:t>
              <w:br/>
            </w:r>
            <w:r>
              <w:rPr>
                <w:noProof/>
                <w:sz w:val="2"/>
              </w:rPr>
              <w:t>29f904a5-a17e-48e0-8eca-042e7b56293f</w:t>
            </w:r>
          </w:p>
        </w:tc>
        <w:tc>
          <w:tcPr>
            <w:tcW w:w="360" w:type="dxa"/>
            <w:shd w:val="clear" w:color="auto" w:fill="F2F2F2"/>
          </w:tcPr>
          <w:p w:rsidR="00A77B3E">
            <w:pPr>
              <w:pStyle w:val="mqeng"/>
              <w:jc w:val="left"/>
            </w:pPr>
            <w:r>
              <w:rPr>
                <w:noProof/>
              </w:rPr>
              <w:t>Given the binary outlook, we remain cautious about adding risk and remain focused on selecting companies with strong fundamentals and what we see as attractive valuations.</w:t>
            </w:r>
          </w:p>
        </w:tc>
        <w:tc>
          <w:tcPr>
            <w:tcW w:w="360" w:type="dxa"/>
            <w:shd w:val="clear" w:color="auto" w:fill="auto"/>
          </w:tcPr>
          <w:p w:rsidR="00A77B3E">
            <w:pPr>
              <w:pStyle w:val="mqfre"/>
              <w:jc w:val="left"/>
            </w:pPr>
            <w:r>
              <w:rPr>
                <w:noProof w:val="0"/>
              </w:rPr>
              <w:t>Étant donné les perspectives binaires, nous restons prudents quant à l’augmentation du risque et restons concentrés sur la sélection de sociétés avec des fondamentaux solides et ce que nous considérons comme des valorisations intéressantes.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w:t>
              <w:br/>
            </w:r>
            <w:r>
              <w:rPr>
                <w:noProof/>
                <w:sz w:val="2"/>
              </w:rPr>
              <w:t>c0b4db83-fafd-40e4-a90d-61d76953b1b0</w:t>
            </w:r>
          </w:p>
        </w:tc>
        <w:tc>
          <w:tcPr>
            <w:tcW w:w="360" w:type="dxa"/>
            <w:shd w:val="clear" w:color="auto" w:fill="F2F2F2"/>
          </w:tcPr>
          <w:p w:rsidR="00A77B3E">
            <w:pPr>
              <w:pStyle w:val="mqeng"/>
              <w:jc w:val="left"/>
            </w:pPr>
            <w:r>
              <w:rPr>
                <w:b/>
                <w:i w:val="0"/>
                <w:noProof/>
                <w:u w:val="none"/>
                <w:vertAlign w:val="baseline"/>
              </w:rPr>
              <w:t>Manager outlook</w:t>
            </w:r>
          </w:p>
        </w:tc>
        <w:tc>
          <w:tcPr>
            <w:tcW w:w="360" w:type="dxa"/>
            <w:shd w:val="clear" w:color="auto" w:fill="auto"/>
          </w:tcPr>
          <w:p w:rsidR="00A77B3E">
            <w:pPr>
              <w:pStyle w:val="mqfre"/>
              <w:jc w:val="left"/>
            </w:pPr>
            <w:r>
              <w:rPr>
                <w:b/>
                <w:i w:val="0"/>
                <w:noProof w:val="0"/>
                <w:u w:val="none"/>
                <w:vertAlign w:val="baseline"/>
              </w:rPr>
              <w:t>Perspectives du Gestionnaire</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(98%)</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w:t>
              <w:br/>
            </w:r>
            <w:r>
              <w:rPr>
                <w:noProof/>
                <w:sz w:val="2"/>
              </w:rPr>
              <w:t>b529f31b-bf50-43cd-969c-18b97124a97a</w:t>
            </w:r>
          </w:p>
        </w:tc>
        <w:tc>
          <w:tcPr>
            <w:tcW w:w="360" w:type="dxa"/>
            <w:shd w:val="clear" w:color="auto" w:fill="F2F2F2"/>
          </w:tcPr>
          <w:p w:rsidR="00A77B3E">
            <w:pPr>
              <w:pStyle w:val="mqeng"/>
              <w:jc w:val="left"/>
            </w:pPr>
            <w:r>
              <w:rPr>
                <w:noProof/>
              </w:rPr>
              <w:t>We maintained the fund's small overweight position to credit spread risk relative to the index.</w:t>
            </w:r>
          </w:p>
        </w:tc>
        <w:tc>
          <w:tcPr>
            <w:tcW w:w="360" w:type="dxa"/>
            <w:shd w:val="clear" w:color="auto" w:fill="auto"/>
          </w:tcPr>
          <w:p w:rsidR="00A77B3E">
            <w:pPr>
              <w:pStyle w:val="mqfre"/>
              <w:jc w:val="left"/>
            </w:pPr>
            <w:r>
              <w:rPr>
                <w:noProof w:val="0"/>
              </w:rPr>
              <w:t>Nous avons maintenu la légère surpondération du fonds au risque de spread de crédit par rapport à l’indice.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w:t>
              <w:br/>
            </w:r>
            <w:r>
              <w:rPr>
                <w:noProof/>
                <w:sz w:val="2"/>
              </w:rPr>
              <w:t>17e05955-c7cf-4810-bbe6-14b68b67eea3</w:t>
            </w:r>
          </w:p>
        </w:tc>
        <w:tc>
          <w:tcPr>
            <w:tcW w:w="360" w:type="dxa"/>
            <w:shd w:val="clear" w:color="auto" w:fill="F2F2F2"/>
          </w:tcPr>
          <w:p w:rsidR="00A77B3E">
            <w:pPr>
              <w:pStyle w:val="mqeng"/>
              <w:jc w:val="left"/>
            </w:pPr>
            <w:r>
              <w:rPr>
                <w:noProof/>
              </w:rPr>
              <w:t>Markets reacted swiftly to the prospect of a later start to the Fed's rate-cutting cycle and although this does not change our outlook for the year, it highlights the rates volatility we can expect as investors adjust expectations.</w:t>
            </w:r>
          </w:p>
        </w:tc>
        <w:tc>
          <w:tcPr>
            <w:tcW w:w="360" w:type="dxa"/>
            <w:shd w:val="clear" w:color="auto" w:fill="auto"/>
          </w:tcPr>
          <w:p w:rsidR="00A77B3E">
            <w:pPr>
              <w:pStyle w:val="mqfre"/>
              <w:jc w:val="left"/>
            </w:pPr>
            <w:r>
              <w:rPr>
                <w:noProof w:val="0"/>
              </w:rPr>
              <w:t>Les marchés ont réagi rapidement à la perspective d’un début plus tardif du cycle de baisse des taux de la Fed et bien que cela ne change pas notre perspective pour l’année, cela met en évidence la volatilité des taux que nous pouvons attendre alors que les investisseurs ajustent leurs attentes.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w:t>
              <w:br/>
            </w:r>
            <w:r>
              <w:rPr>
                <w:noProof/>
                <w:sz w:val="2"/>
              </w:rPr>
              <w:t>b097450e-230c-44f2-b0b0-9d08abf0a3b7</w:t>
            </w:r>
          </w:p>
        </w:tc>
        <w:tc>
          <w:tcPr>
            <w:tcW w:w="360" w:type="dxa"/>
            <w:shd w:val="clear" w:color="auto" w:fill="F2F2F2"/>
          </w:tcPr>
          <w:p w:rsidR="00A77B3E">
            <w:pPr>
              <w:pStyle w:val="mqeng"/>
              <w:jc w:val="left"/>
            </w:pPr>
            <w:r>
              <w:rPr>
                <w:noProof/>
              </w:rPr>
              <w:t>We expect this volatility to spill over into high yield spreads and see two potential scenarios playing out: a near-term spread bear market caused by anything that reignites inflationary concerns, or a temporary re-acceleration of growth that leads to central banks pushing back rate cuts.</w:t>
            </w:r>
          </w:p>
        </w:tc>
        <w:tc>
          <w:tcPr>
            <w:tcW w:w="360" w:type="dxa"/>
            <w:shd w:val="clear" w:color="auto" w:fill="auto"/>
          </w:tcPr>
          <w:p w:rsidR="00A77B3E">
            <w:pPr>
              <w:pStyle w:val="mqfre"/>
              <w:jc w:val="left"/>
            </w:pPr>
            <w:r>
              <w:rPr>
                <w:noProof w:val="0"/>
              </w:rPr>
              <w:t>Nous nous attendons à ce que cette volatilité se répercute sur les spreads des obligations à haut rendement et à voir deux scénarios potentiels se dérouler : un marché baissier des spreads à court terme causé par tout ce qui ravive l’inquiétude inflationniste, ou une ré-accélération temporaire de la croissance qui conduit les banques centrales à retarder les baisses de taux.</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w:t>
              <w:br/>
            </w:r>
            <w:r>
              <w:rPr>
                <w:noProof/>
                <w:sz w:val="2"/>
              </w:rPr>
              <w:t>4f626ca8-0165-4a4f-a575-0062c6114ec1</w:t>
            </w:r>
          </w:p>
        </w:tc>
        <w:tc>
          <w:tcPr>
            <w:tcW w:w="360" w:type="dxa"/>
            <w:shd w:val="clear" w:color="auto" w:fill="F2F2F2"/>
          </w:tcPr>
          <w:p w:rsidR="00A77B3E">
            <w:pPr>
              <w:pStyle w:val="mqeng"/>
              <w:jc w:val="left"/>
            </w:pPr>
            <w:r>
              <w:rPr>
                <w:noProof/>
              </w:rPr>
              <w:t>A steady spread bull market could happen if it becomes clear that inflation is firmly defeated.</w:t>
            </w:r>
          </w:p>
        </w:tc>
        <w:tc>
          <w:tcPr>
            <w:tcW w:w="360" w:type="dxa"/>
            <w:shd w:val="clear" w:color="auto" w:fill="auto"/>
          </w:tcPr>
          <w:p w:rsidR="00A77B3E">
            <w:pPr>
              <w:pStyle w:val="mqfre"/>
              <w:jc w:val="left"/>
            </w:pPr>
            <w:r>
              <w:rPr>
                <w:noProof w:val="0"/>
              </w:rPr>
              <w:t>Un marché de spread stable pourrait se produire s’il devient clair que l’inflation est fermement vaincue.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w:t>
              <w:br/>
            </w:r>
            <w:r>
              <w:rPr>
                <w:noProof/>
                <w:sz w:val="2"/>
              </w:rPr>
              <w:t>44f67318-508b-450b-8b44-354b601d1799</w:t>
            </w:r>
          </w:p>
        </w:tc>
        <w:tc>
          <w:tcPr>
            <w:tcW w:w="360" w:type="dxa"/>
            <w:shd w:val="clear" w:color="auto" w:fill="F2F2F2"/>
          </w:tcPr>
          <w:p w:rsidR="00A77B3E">
            <w:pPr>
              <w:pStyle w:val="mqeng"/>
              <w:jc w:val="left"/>
            </w:pPr>
            <w:r>
              <w:rPr>
                <w:noProof/>
              </w:rPr>
              <w:t>Central banks embark on rate cuts to prevent real rates becoming too restrictive, which benefits spread assets.</w:t>
            </w:r>
          </w:p>
        </w:tc>
        <w:tc>
          <w:tcPr>
            <w:tcW w:w="360" w:type="dxa"/>
            <w:shd w:val="clear" w:color="auto" w:fill="auto"/>
          </w:tcPr>
          <w:p w:rsidR="00A77B3E">
            <w:pPr>
              <w:pStyle w:val="mqfre"/>
              <w:jc w:val="left"/>
            </w:pPr>
            <w:r>
              <w:rPr>
                <w:noProof w:val="0"/>
              </w:rPr>
              <w:t>Les banques centrales se lancent dans des baisses de taux pour empêcher les taux réels de devenir trop restrictifs, ce qui bénéficie aux actifs de spread.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w:t>
              <w:br/>
            </w:r>
            <w:r>
              <w:rPr>
                <w:noProof/>
                <w:sz w:val="2"/>
              </w:rPr>
              <w:t>322e6bd7-d8c9-4d30-ad91-9bd0e5eb3870</w:t>
            </w:r>
          </w:p>
        </w:tc>
        <w:tc>
          <w:tcPr>
            <w:tcW w:w="360" w:type="dxa"/>
            <w:shd w:val="clear" w:color="auto" w:fill="F2F2F2"/>
          </w:tcPr>
          <w:p w:rsidR="00A77B3E">
            <w:pPr>
              <w:pStyle w:val="mqeng"/>
              <w:jc w:val="left"/>
            </w:pPr>
            <w:r>
              <w:rPr>
                <w:noProof/>
              </w:rPr>
              <w:t>Given the binary outlook, we remain cautious about adding risk and remain focus on selecting companies with strong fundamentals and attractive valuations.</w:t>
            </w:r>
          </w:p>
        </w:tc>
        <w:tc>
          <w:tcPr>
            <w:tcW w:w="360" w:type="dxa"/>
            <w:shd w:val="clear" w:color="auto" w:fill="auto"/>
          </w:tcPr>
          <w:p w:rsidR="00A77B3E">
            <w:pPr>
              <w:pStyle w:val="mqfre"/>
              <w:jc w:val="left"/>
            </w:pPr>
            <w:r>
              <w:rPr>
                <w:noProof w:val="0"/>
              </w:rPr>
              <w:t>Étant donné les perspectives binaires, nous restons prudents quant à l’augmentation du risque et restons concentrés sur la sélection de sociétés avec des fondamentaux solides et des valorisations attrayantes.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w:t>
              <w:br/>
            </w:r>
            <w:r>
              <w:rPr>
                <w:noProof/>
                <w:sz w:val="2"/>
              </w:rPr>
              <w:t>591a9de8-08f4-4a9a-a876-a2ae6e8970dc</w:t>
            </w:r>
          </w:p>
        </w:tc>
        <w:tc>
          <w:tcPr>
            <w:tcW w:w="360" w:type="dxa"/>
            <w:shd w:val="clear" w:color="auto" w:fill="F2F2F2"/>
          </w:tcPr>
          <w:p w:rsidR="00A77B3E">
            <w:pPr>
              <w:pStyle w:val="mqeng"/>
              <w:jc w:val="left"/>
            </w:pPr>
            <w:r>
              <w:rPr>
                <w:noProof/>
              </w:rPr>
              <w:t>Despite the increase in supply we saw in January, demand remained strong.</w:t>
            </w:r>
          </w:p>
        </w:tc>
        <w:tc>
          <w:tcPr>
            <w:tcW w:w="360" w:type="dxa"/>
            <w:shd w:val="clear" w:color="auto" w:fill="auto"/>
          </w:tcPr>
          <w:p w:rsidR="00A77B3E">
            <w:pPr>
              <w:pStyle w:val="mqfre"/>
              <w:jc w:val="left"/>
            </w:pPr>
            <w:r>
              <w:rPr>
                <w:noProof w:val="0"/>
              </w:rPr>
              <w:t>Malgré l’augmentation de l’offre que nous avons constatée en janvier, la demande est restée forte.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w:t>
              <w:br/>
            </w:r>
            <w:r>
              <w:rPr>
                <w:noProof/>
                <w:sz w:val="2"/>
              </w:rPr>
              <w:t>93b144a0-ec4c-4dfa-aa77-8067ccfc5010</w:t>
            </w:r>
          </w:p>
        </w:tc>
        <w:tc>
          <w:tcPr>
            <w:tcW w:w="360" w:type="dxa"/>
            <w:shd w:val="clear" w:color="auto" w:fill="F2F2F2"/>
          </w:tcPr>
          <w:p w:rsidR="00A77B3E">
            <w:pPr>
              <w:pStyle w:val="mqeng"/>
              <w:jc w:val="left"/>
            </w:pPr>
            <w:r>
              <w:rPr>
                <w:noProof/>
              </w:rPr>
              <w:t>This continues to be a positive technical for the asset class.</w:t>
            </w:r>
          </w:p>
        </w:tc>
        <w:tc>
          <w:tcPr>
            <w:tcW w:w="360" w:type="dxa"/>
            <w:shd w:val="clear" w:color="auto" w:fill="auto"/>
          </w:tcPr>
          <w:p w:rsidR="00A77B3E">
            <w:pPr>
              <w:pStyle w:val="mqfre"/>
              <w:jc w:val="left"/>
            </w:pPr>
            <w:r>
              <w:rPr>
                <w:noProof w:val="0"/>
              </w:rPr>
              <w:t>Cela continue d’être une technique positif pour la classe d’actifs.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w:t>
              <w:br/>
            </w:r>
            <w:r>
              <w:rPr>
                <w:noProof/>
                <w:sz w:val="2"/>
              </w:rPr>
              <w:t>cf79b957-955b-4e91-a0f0-f498fefd280f</w:t>
            </w:r>
          </w:p>
        </w:tc>
        <w:tc>
          <w:tcPr>
            <w:tcW w:w="360" w:type="dxa"/>
            <w:shd w:val="clear" w:color="auto" w:fill="F2F2F2"/>
          </w:tcPr>
          <w:p w:rsidR="00A77B3E">
            <w:pPr>
              <w:pStyle w:val="mqeng"/>
              <w:jc w:val="left"/>
            </w:pPr>
            <w:r>
              <w:rPr>
                <w:noProof/>
              </w:rPr>
              <w:t>However, as we navigate interest rate cuts expectations and an approaching maturity wall, we remain cautious on the companies with increasing leverage and lower interest rate coverage ratios but positive on companies that continue to have reasonably good interest cover ratios and strong free cash flow measures.</w:t>
            </w:r>
          </w:p>
        </w:tc>
        <w:tc>
          <w:tcPr>
            <w:tcW w:w="360" w:type="dxa"/>
            <w:shd w:val="clear" w:color="auto" w:fill="auto"/>
          </w:tcPr>
          <w:p w:rsidR="00A77B3E">
            <w:pPr>
              <w:pStyle w:val="mqfre"/>
              <w:jc w:val="left"/>
            </w:pPr>
            <w:r>
              <w:rPr>
                <w:noProof w:val="0"/>
              </w:rPr>
              <w:t>Nous restons prudents à l'égard des entreprises dont l'endettement augmente et dont les ratios de couverture des taux d'intérêt diminuent, mais nous sommes confiants à l'égard de celles qui affichent toujours des ratios de couverture raisonnables et des indicateurs de flux de trésorerie satisfaisants.</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(74%)</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w:t>
              <w:br/>
            </w:r>
            <w:r>
              <w:rPr>
                <w:noProof/>
                <w:sz w:val="2"/>
              </w:rPr>
              <w:t>eb0c8d72-cfed-4885-b588-8de7919104a9</w:t>
            </w:r>
          </w:p>
        </w:tc>
        <w:tc>
          <w:tcPr>
            <w:tcW w:w="360" w:type="dxa"/>
            <w:shd w:val="clear" w:color="auto" w:fill="F2F2F2"/>
          </w:tcPr>
          <w:p w:rsidR="00A77B3E">
            <w:pPr>
              <w:pStyle w:val="mqeng"/>
              <w:jc w:val="left"/>
            </w:pPr>
            <w:r>
              <w:rPr>
                <w:noProof/>
              </w:rPr>
              <w:t>The deterioration in credit ratios is mild.</w:t>
            </w:r>
          </w:p>
        </w:tc>
        <w:tc>
          <w:tcPr>
            <w:tcW w:w="360" w:type="dxa"/>
            <w:shd w:val="clear" w:color="auto" w:fill="auto"/>
          </w:tcPr>
          <w:p w:rsidR="00A77B3E">
            <w:pPr>
              <w:pStyle w:val="mqfre"/>
              <w:jc w:val="left"/>
            </w:pPr>
            <w:r>
              <w:rPr>
                <w:noProof w:val="0"/>
              </w:rPr>
              <w:t>La détérioration des ratios de crédit est légère.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w:t>
              <w:br/>
            </w:r>
            <w:r>
              <w:rPr>
                <w:noProof/>
                <w:sz w:val="2"/>
              </w:rPr>
              <w:t>e691bf4b-b26f-45f1-9424-2ea23e6c36c0</w:t>
            </w:r>
          </w:p>
        </w:tc>
        <w:tc>
          <w:tcPr>
            <w:tcW w:w="360" w:type="dxa"/>
            <w:shd w:val="clear" w:color="auto" w:fill="F2F2F2"/>
          </w:tcPr>
          <w:p w:rsidR="00A77B3E">
            <w:pPr>
              <w:pStyle w:val="mqeng"/>
              <w:jc w:val="left"/>
            </w:pPr>
            <w:r>
              <w:rPr>
                <w:noProof/>
              </w:rPr>
              <w:t>However, we believe default rates are likely to peak at relatively low levels, with a slightly higher default rate in the US given it has a lower-quality high yield bond market than Europe.</w:t>
            </w:r>
          </w:p>
        </w:tc>
        <w:tc>
          <w:tcPr>
            <w:tcW w:w="360" w:type="dxa"/>
            <w:shd w:val="clear" w:color="auto" w:fill="auto"/>
          </w:tcPr>
          <w:p w:rsidR="00A77B3E">
            <w:pPr>
              <w:pStyle w:val="mqfre"/>
              <w:jc w:val="left"/>
            </w:pPr>
            <w:r>
              <w:rPr>
                <w:noProof w:val="0"/>
              </w:rPr>
              <w:t>Cependant, nous pensons que les taux de défaillance devraient atteindre des niveaux relativement bas, avec un taux de défaillance légèrement plus élevé aux États-Unis étant donné qu’il dispose d’un marché obligataire à haut rendement de moindre qualité par rapport à l’Europe.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w:t>
              <w:br/>
            </w:r>
            <w:r>
              <w:rPr>
                <w:noProof/>
                <w:sz w:val="2"/>
              </w:rPr>
              <w:t>c6634aa9-3267-43d9-88e3-afa9ebe8e1ef</w:t>
            </w:r>
          </w:p>
        </w:tc>
        <w:tc>
          <w:tcPr>
            <w:tcW w:w="360" w:type="dxa"/>
            <w:shd w:val="clear" w:color="auto" w:fill="F2F2F2"/>
          </w:tcPr>
          <w:p w:rsidR="00A77B3E">
            <w:pPr>
              <w:pStyle w:val="mqeng"/>
              <w:jc w:val="left"/>
            </w:pPr>
            <w:r>
              <w:rPr>
                <w:noProof/>
              </w:rPr>
              <w:t>Distress is concentrated in the real estate, telecommunications, media and pharmaceutical sectors.</w:t>
            </w:r>
          </w:p>
        </w:tc>
        <w:tc>
          <w:tcPr>
            <w:tcW w:w="360" w:type="dxa"/>
            <w:shd w:val="clear" w:color="auto" w:fill="auto"/>
          </w:tcPr>
          <w:p w:rsidR="00A77B3E">
            <w:pPr>
              <w:pStyle w:val="mqfre"/>
              <w:jc w:val="left"/>
            </w:pPr>
            <w:r>
              <w:rPr>
                <w:noProof w:val="0"/>
              </w:rPr>
              <w:t>Le distress est concentré dans l’immobilier, les télécommunications, les médias et la pharmacie.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w:t>
              <w:br/>
            </w:r>
            <w:r>
              <w:rPr>
                <w:noProof/>
                <w:sz w:val="2"/>
              </w:rPr>
              <w:t>aa13c0fc-b0a4-4944-8f49-853ffe6ca130</w:t>
            </w:r>
          </w:p>
        </w:tc>
        <w:tc>
          <w:tcPr>
            <w:tcW w:w="360" w:type="dxa"/>
            <w:shd w:val="clear" w:color="auto" w:fill="F2F2F2"/>
          </w:tcPr>
          <w:p w:rsidR="00A77B3E">
            <w:pPr>
              <w:pStyle w:val="mqeng"/>
              <w:jc w:val="left"/>
            </w:pPr>
            <w:r>
              <w:rPr>
                <w:noProof/>
              </w:rPr>
              <w:t>Shifting work habits, debt loads and higher financing costs explain the problems in real estate, whereas the media sector has been struggling from weakness in cable operators and a general softening in advertising.</w:t>
            </w:r>
          </w:p>
        </w:tc>
        <w:tc>
          <w:tcPr>
            <w:tcW w:w="360" w:type="dxa"/>
            <w:shd w:val="clear" w:color="auto" w:fill="auto"/>
          </w:tcPr>
          <w:p w:rsidR="00A77B3E">
            <w:pPr>
              <w:pStyle w:val="mqfre"/>
              <w:jc w:val="left"/>
            </w:pPr>
            <w:r>
              <w:rPr>
                <w:noProof w:val="0"/>
              </w:rPr>
              <w:t>Les habitudes de travail changeantes, les charges d’endettement et les coûts de financement plus élevés expliquent les problèmes dans l’immobilier, tandis que le secteur des médias a souffert de la faiblesse des opérateurs de câbles et d’un affaiblissement général de la publicité.</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w:t>
              <w:br/>
            </w:r>
            <w:r>
              <w:rPr>
                <w:noProof/>
                <w:sz w:val="2"/>
              </w:rPr>
              <w:t>e1b95af8-d437-4c64-bc89-d2f02882f352</w:t>
            </w:r>
          </w:p>
        </w:tc>
        <w:tc>
          <w:tcPr>
            <w:tcW w:w="360" w:type="dxa"/>
            <w:shd w:val="clear" w:color="auto" w:fill="F2F2F2"/>
          </w:tcPr>
          <w:p w:rsidR="00A77B3E">
            <w:pPr>
              <w:pStyle w:val="mqeng"/>
              <w:jc w:val="left"/>
            </w:pPr>
            <w:r>
              <w:rPr>
                <w:noProof/>
              </w:rPr>
              <w:t>In this macroeconomic and credit environment, where trajectory is uncertain and tail risks significant, we continue to draw on the expertise of our credit research team to select what we see as attractively priced, high-quality issues while also managing upside potential and downside risks in the portfolio.</w:t>
            </w:r>
          </w:p>
        </w:tc>
        <w:tc>
          <w:tcPr>
            <w:tcW w:w="360" w:type="dxa"/>
            <w:shd w:val="clear" w:color="auto" w:fill="auto"/>
          </w:tcPr>
          <w:p w:rsidR="00A77B3E">
            <w:pPr>
              <w:pStyle w:val="mqfre"/>
              <w:jc w:val="left"/>
            </w:pPr>
            <w:r>
              <w:rPr>
                <w:noProof w:val="0"/>
              </w:rPr>
              <w:t>Dans cet environnement macroéconomique et de crédit, où la trajectoire est incertaine et les risques de queue significatifs, nous continuons à nous appuyer sur l’expertise de notre équipe de recherche sur le crédit pour sélectionner ce que nous considérons comme des émissions de qualité à des prix attractifs tout en gérant également le potentiel de hausse et les risques de baisse dans le portefeuille.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w:t>
              <w:br/>
            </w:r>
            <w:r>
              <w:rPr>
                <w:noProof/>
                <w:sz w:val="2"/>
              </w:rPr>
              <w:t>b48a491a-a295-4301-83ae-45b5a3b7ae33</w:t>
            </w:r>
          </w:p>
        </w:tc>
        <w:tc>
          <w:tcPr>
            <w:tcW w:w="360" w:type="dxa"/>
            <w:shd w:val="clear" w:color="auto" w:fill="F2F2F2"/>
          </w:tcPr>
          <w:p w:rsidR="00A77B3E">
            <w:pPr>
              <w:pStyle w:val="mqeng"/>
              <w:jc w:val="left"/>
            </w:pPr>
            <w:r>
              <w:rPr>
                <w:noProof/>
              </w:rPr>
              <w:t>We feel a discriminating approach to security selection, combined with nimbleness in adding or removing risk from the portfolio, will be key to delivering attractive risk-adjusted returns.</w:t>
            </w:r>
          </w:p>
        </w:tc>
        <w:tc>
          <w:tcPr>
            <w:tcW w:w="360" w:type="dxa"/>
            <w:shd w:val="clear" w:color="auto" w:fill="auto"/>
          </w:tcPr>
          <w:p w:rsidR="00A77B3E">
            <w:pPr>
              <w:pStyle w:val="mqfre"/>
              <w:jc w:val="left"/>
            </w:pPr>
            <w:r>
              <w:rPr>
                <w:noProof w:val="0"/>
              </w:rPr>
              <w:t>Nous pensons qu’une approche différenciée de la sélection des titres, combinée à un essor dans l’ajout ou le retrait de risque du portefeuille, sera un élément clé pour offrir des rendements ajustés au risque intéressants.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w:t>
              <w:br/>
            </w:r>
            <w:r>
              <w:rPr>
                <w:noProof/>
                <w:sz w:val="2"/>
              </w:rPr>
              <w:t>a586b60b-2450-4514-9cfb-385e8edd23fe</w:t>
            </w:r>
          </w:p>
        </w:tc>
        <w:tc>
          <w:tcPr>
            <w:tcW w:w="360" w:type="dxa"/>
            <w:shd w:val="clear" w:color="auto" w:fill="F2F2F2"/>
          </w:tcPr>
          <w:p w:rsidR="00A77B3E">
            <w:pPr>
              <w:pStyle w:val="mqeng"/>
              <w:jc w:val="left"/>
            </w:pPr>
            <w:r>
              <w:rPr>
                <w:noProof/>
              </w:rPr>
              <w:t>Source:</w:t>
            </w:r>
          </w:p>
        </w:tc>
        <w:tc>
          <w:tcPr>
            <w:tcW w:w="360" w:type="dxa"/>
            <w:shd w:val="clear" w:color="auto" w:fill="auto"/>
          </w:tcPr>
          <w:p w:rsidR="00A77B3E">
            <w:pPr>
              <w:pStyle w:val="mqfre"/>
              <w:jc w:val="left"/>
            </w:pPr>
            <w:r>
              <w:rPr>
                <w:noProof w:val="0"/>
              </w:rPr>
              <w:t>Source :</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w:t>
              <w:br/>
            </w:r>
            <w:r>
              <w:rPr>
                <w:noProof/>
                <w:sz w:val="2"/>
              </w:rPr>
              <w:t>64b994ab-0347-4e2e-9fe4-bd5df449540c</w:t>
            </w:r>
          </w:p>
        </w:tc>
        <w:tc>
          <w:tcPr>
            <w:tcW w:w="360" w:type="dxa"/>
            <w:shd w:val="clear" w:color="auto" w:fill="F2F2F2"/>
          </w:tcPr>
          <w:p w:rsidR="00A77B3E">
            <w:pPr>
              <w:pStyle w:val="mqeng"/>
              <w:jc w:val="left"/>
            </w:pPr>
            <w:r>
              <w:rPr>
                <w:noProof/>
              </w:rPr>
              <w:t>Janus Henderson Investors, as at 31 January 2024</w:t>
            </w:r>
          </w:p>
        </w:tc>
        <w:tc>
          <w:tcPr>
            <w:tcW w:w="360" w:type="dxa"/>
            <w:shd w:val="clear" w:color="auto" w:fill="auto"/>
          </w:tcPr>
          <w:p w:rsidR="00A77B3E">
            <w:pPr>
              <w:pStyle w:val="mqfre"/>
              <w:jc w:val="left"/>
            </w:pPr>
            <w:r>
              <w:rPr>
                <w:noProof w:val="0"/>
              </w:rPr>
              <w:t>Janus Henderson Investors, au 31 juin 2024.</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(75%)</w:t>
            </w:r>
          </w:p>
        </w:tc>
      </w:tr>
    </w:tbl>
    <w:p w:rsidR="00A77B3E"/>
    <w:p w:rsidR="00A77B3E"/>
    <w:sectPr>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ahoma" w:eastAsia="Tahoma" w:hAnsi="Tahoma" w:cs="Tahoma"/>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mqInternal">
    <w:name w:val="mqInternal"/>
    <w:rPr>
      <w:color w:val="800000"/>
    </w:rPr>
  </w:style>
  <w:style w:type="paragraph" w:customStyle="1" w:styleId="mqfre">
    <w:name w:val="mq:fre"/>
    <w:basedOn w:val="Normal"/>
    <w:rPr>
      <w:lang w:val="fr-FR" w:eastAsia="fr-FR" w:bidi="fr-FR"/>
    </w:rPr>
  </w:style>
  <w:style w:type="paragraph" w:customStyle="1" w:styleId="mqeng">
    <w:name w:val="mq:eng"/>
    <w:basedOn w:val="Normal"/>
    <w:rPr>
      <w:lang w:val="gd-GB" w:eastAsia="gd-GB" w:bidi="gd-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asCommentColumn">
    <vt:bool>true</vt:bool>
  </property>
  <property fmtid="{D5CDD505-2E9C-101B-9397-08002B2CF9AE}" pid="3" name="HasStatusColumn">
    <vt:bool>true</vt:bool>
  </property>
  <property fmtid="{D5CDD505-2E9C-101B-9397-08002B2CF9AE}" pid="4" name="HasTwoTargetColumn">
    <vt:bool>false</vt:bool>
  </property>
  <property fmtid="{D5CDD505-2E9C-101B-9397-08002B2CF9AE}" pid="5" name="memoQVersion">
    <vt:lpwstr>11.6.10</vt:lpwstr>
  </property>
</Properties>
</file>