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0.0 -->
  <w:body>
    <w:tbl>
      <w:tblPr>
        <w:tblCaption w:val="TableDocxTableTitle"/>
        <w:tblDescription w:val="84a911f8-f1dc-4601-ae1d-68411f2984e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0"/>
        <w:gridCol w:w="6032"/>
        <w:gridCol w:w="6032"/>
        <w:gridCol w:w="1217"/>
        <w:gridCol w:w="16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800" w:type="dxa"/>
            <w:gridSpan w:val="5"/>
            <w:shd w:val="clear" w:color="auto" w:fill="F2F2F2"/>
          </w:tcPr>
          <w:p w:rsidR="00A77B3E">
            <w:pPr>
              <w:jc w:val="center"/>
              <w:rPr>
                <w:b/>
                <w:i w:val="0"/>
                <w:noProof/>
                <w:u w:val="none"/>
                <w:vertAlign w:val="baseline"/>
              </w:rPr>
            </w:pPr>
            <w:r>
              <w:rPr>
                <w:b/>
                <w:i w:val="0"/>
                <w:noProof/>
                <w:u w:val="none"/>
                <w:vertAlign w:val="baseline"/>
              </w:rPr>
              <w:t>4802_HHFGHY_EN_M_31012024.docx</w:t>
            </w:r>
          </w:p>
          <w:p w:rsidR="00A77B3E">
            <w:pPr>
              <w:jc w:val="center"/>
              <w:rPr>
                <w:b/>
                <w:i w:val="0"/>
                <w:noProof/>
                <w:u w:val="none"/>
                <w:vertAlign w:val="baseline"/>
              </w:rPr>
            </w:pPr>
            <w:r>
              <w:rPr>
                <w:b/>
                <w:i w:val="0"/>
                <w:noProof/>
                <w:u w:val="none"/>
                <w:vertAlign w:val="baseline"/>
              </w:rPr>
              <w:t>Important! Don’t change segment ID or source text.</w:t>
            </w:r>
          </w:p>
          <w:p w:rsidR="00A77B3E">
            <w:pPr>
              <w:jc w:val="center"/>
              <w:rPr>
                <w:b/>
                <w:i w:val="0"/>
                <w:noProof/>
                <w:u w:val="none"/>
                <w:vertAlign w:val="baseline"/>
              </w:rPr>
            </w:pPr>
            <w:r>
              <w:rPr>
                <w:b/>
                <w:i w:val="0"/>
                <w:noProof/>
                <w:u w:val="none"/>
                <w:vertAlign w:val="baseline"/>
              </w:rPr>
              <w:t>V11.6.10 84a911f8-f1dc-4601-ae1d-68411f2984eb</w:t>
            </w:r>
          </w:p>
        </w:tc>
      </w:tr>
      <w:tr>
        <w:tblPrEx>
          <w:tblW w:w="5000" w:type="pct"/>
          <w:tblCellMar>
            <w:left w:w="108" w:type="dxa"/>
            <w:right w:w="108" w:type="dxa"/>
          </w:tblCellMar>
        </w:tblPrEx>
        <w:tc>
          <w:tcPr>
            <w:tcW w:w="660" w:type="dxa"/>
            <w:shd w:val="clear" w:color="auto" w:fill="F2F2F2"/>
          </w:tcPr>
          <w:p w:rsidR="00A77B3E">
            <w:pPr>
              <w:jc w:val="left"/>
              <w:rPr>
                <w:b/>
                <w:i w:val="0"/>
                <w:noProof/>
                <w:u w:val="none"/>
                <w:vertAlign w:val="baseline"/>
              </w:rPr>
            </w:pPr>
            <w:r>
              <w:rPr>
                <w:b/>
                <w:i w:val="0"/>
                <w:noProof/>
                <w:u w:val="none"/>
                <w:vertAlign w:val="baseline"/>
              </w:rPr>
              <w:t>ID</w:t>
            </w:r>
          </w:p>
        </w:tc>
        <w:tc>
          <w:tcPr>
            <w:tcW w:w="5949" w:type="dxa"/>
            <w:shd w:val="clear" w:color="auto" w:fill="F2F2F2"/>
          </w:tcPr>
          <w:p w:rsidR="00A77B3E">
            <w:pPr>
              <w:jc w:val="left"/>
              <w:rPr>
                <w:b/>
                <w:i w:val="0"/>
                <w:noProof/>
                <w:u w:val="none"/>
                <w:vertAlign w:val="baseline"/>
              </w:rPr>
            </w:pPr>
            <w:r>
              <w:rPr>
                <w:b/>
                <w:i w:val="0"/>
                <w:noProof/>
                <w:u w:val="none"/>
                <w:vertAlign w:val="baseline"/>
              </w:rPr>
              <w:t>English</w:t>
            </w:r>
          </w:p>
        </w:tc>
        <w:tc>
          <w:tcPr>
            <w:tcW w:w="5949" w:type="dxa"/>
            <w:shd w:val="clear" w:color="auto" w:fill="F2F2F2"/>
          </w:tcPr>
          <w:p w:rsidR="00A77B3E">
            <w:pPr>
              <w:jc w:val="left"/>
              <w:rPr>
                <w:b/>
                <w:i w:val="0"/>
                <w:noProof/>
                <w:u w:val="none"/>
                <w:vertAlign w:val="baseline"/>
              </w:rPr>
            </w:pPr>
            <w:r>
              <w:rPr>
                <w:b/>
                <w:i w:val="0"/>
                <w:noProof/>
                <w:u w:val="none"/>
                <w:vertAlign w:val="baseline"/>
              </w:rPr>
              <w:t>German</w:t>
            </w:r>
          </w:p>
        </w:tc>
        <w:tc>
          <w:tcPr>
            <w:tcW w:w="1200" w:type="dxa"/>
            <w:shd w:val="clear" w:color="auto" w:fill="F2F2F2"/>
          </w:tcPr>
          <w:p w:rsidR="00A77B3E">
            <w:pPr>
              <w:jc w:val="left"/>
              <w:rPr>
                <w:b/>
                <w:i w:val="0"/>
                <w:noProof/>
                <w:u w:val="none"/>
                <w:vertAlign w:val="baseline"/>
              </w:rPr>
            </w:pPr>
            <w:r>
              <w:rPr>
                <w:b/>
                <w:i w:val="0"/>
                <w:noProof/>
                <w:u w:val="none"/>
                <w:vertAlign w:val="baseline"/>
              </w:rPr>
              <w:t>Comment</w:t>
            </w:r>
          </w:p>
        </w:tc>
        <w:tc>
          <w:tcPr>
            <w:tcW w:w="1640" w:type="dxa"/>
            <w:shd w:val="clear" w:color="auto" w:fill="F2F2F2"/>
          </w:tcPr>
          <w:p w:rsidR="00A77B3E">
            <w:pPr>
              <w:jc w:val="left"/>
            </w:pPr>
            <w:r>
              <w:rPr>
                <w:b/>
                <w:i w:val="0"/>
                <w:noProof/>
                <w:u w:val="none"/>
                <w:vertAlign w:val="baseline"/>
              </w:rPr>
              <w:t>Status</w:t>
            </w:r>
          </w:p>
        </w:tc>
      </w:tr>
      <w:tr>
        <w:tblPrEx>
          <w:tblW w:w="5000" w:type="pct"/>
          <w:tblCellMar>
            <w:left w:w="108" w:type="dxa"/>
            <w:right w:w="108" w:type="dxa"/>
          </w:tblCellMar>
        </w:tblPrEx>
        <w:tc>
          <w:tcPr>
            <w:tcW w:w="360" w:type="dxa"/>
            <w:shd w:val="clear" w:color="auto" w:fill="F2F2F2"/>
          </w:tcPr>
          <w:p w:rsidR="00A77B3E">
            <w:pPr>
              <w:jc w:val="left"/>
            </w:pPr>
            <w:r>
              <w:rPr>
                <w:noProof/>
                <w:sz w:val="16"/>
              </w:rPr>
              <w:t>1</w:t>
              <w:br/>
            </w:r>
            <w:r>
              <w:rPr>
                <w:noProof/>
                <w:sz w:val="2"/>
              </w:rPr>
              <w:t>aa499a4f-d77e-48a6-b97c-556d88e1fb83</w:t>
            </w:r>
          </w:p>
        </w:tc>
        <w:tc>
          <w:tcPr>
            <w:tcW w:w="360" w:type="dxa"/>
            <w:shd w:val="clear" w:color="auto" w:fill="F2F2F2"/>
          </w:tcPr>
          <w:p w:rsidR="00A77B3E">
            <w:pPr>
              <w:pStyle w:val="mqeng"/>
              <w:jc w:val="left"/>
            </w:pPr>
            <w:r>
              <w:rPr>
                <w:b/>
                <w:i w:val="0"/>
                <w:noProof/>
                <w:u w:val="none"/>
                <w:vertAlign w:val="baseline"/>
              </w:rPr>
              <w:t>Investment environment</w:t>
            </w:r>
          </w:p>
        </w:tc>
        <w:tc>
          <w:tcPr>
            <w:tcW w:w="360" w:type="dxa"/>
            <w:shd w:val="clear" w:color="auto" w:fill="auto"/>
          </w:tcPr>
          <w:p w:rsidR="00A77B3E">
            <w:pPr>
              <w:pStyle w:val="mqger"/>
              <w:jc w:val="left"/>
            </w:pPr>
            <w:r>
              <w:rPr>
                <w:b/>
                <w:i w:val="0"/>
                <w:noProof w:val="0"/>
                <w:u w:val="none"/>
                <w:vertAlign w:val="baseline"/>
              </w:rPr>
              <w:t>Anlageumfeld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w:t>
              <w:br/>
            </w:r>
            <w:r>
              <w:rPr>
                <w:noProof/>
                <w:sz w:val="2"/>
              </w:rPr>
              <w:t>e88eb378-cccb-4e8c-9eb1-01eb6f07d221</w:t>
            </w:r>
          </w:p>
        </w:tc>
        <w:tc>
          <w:tcPr>
            <w:tcW w:w="360" w:type="dxa"/>
            <w:shd w:val="clear" w:color="auto" w:fill="F2F2F2"/>
          </w:tcPr>
          <w:p w:rsidR="00A77B3E">
            <w:pPr>
              <w:pStyle w:val="mqeng"/>
              <w:jc w:val="left"/>
            </w:pPr>
            <w:r>
              <w:rPr>
                <w:noProof/>
              </w:rPr>
              <w:t>&amp;#7;Fixed income markets cooled slightly in January following the strong rally at the end of last year, and the global high yield bond market made a small positive return.</w:t>
            </w:r>
          </w:p>
        </w:tc>
        <w:tc>
          <w:tcPr>
            <w:tcW w:w="360" w:type="dxa"/>
            <w:shd w:val="clear" w:color="auto" w:fill="auto"/>
          </w:tcPr>
          <w:p w:rsidR="00A77B3E">
            <w:pPr>
              <w:pStyle w:val="mqger"/>
              <w:jc w:val="left"/>
            </w:pPr>
            <w:r>
              <w:rPr>
                <w:noProof w:val="0"/>
              </w:rPr>
              <w:t>&amp;#7;Die Rentenmärkte kühlten sich im Januar leicht ab, nachdem die starken Rallys zum Ende des letzten Jahres stattgefunden hatten, und der globale High-Yield-Anleihemarkt erzielte eine kleine positive Rendite.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w:t>
              <w:br/>
            </w:r>
            <w:r>
              <w:rPr>
                <w:noProof/>
                <w:sz w:val="2"/>
              </w:rPr>
              <w:t>897fd654-5fe0-45ee-9673-33e5d8280341</w:t>
            </w:r>
          </w:p>
        </w:tc>
        <w:tc>
          <w:tcPr>
            <w:tcW w:w="360" w:type="dxa"/>
            <w:shd w:val="clear" w:color="auto" w:fill="F2F2F2"/>
          </w:tcPr>
          <w:p w:rsidR="00A77B3E">
            <w:pPr>
              <w:pStyle w:val="mqeng"/>
              <w:jc w:val="left"/>
            </w:pPr>
            <w:r>
              <w:rPr>
                <w:noProof/>
              </w:rPr>
              <w:t>Excess returns were positive.</w:t>
            </w:r>
          </w:p>
        </w:tc>
        <w:tc>
          <w:tcPr>
            <w:tcW w:w="360" w:type="dxa"/>
            <w:shd w:val="clear" w:color="auto" w:fill="auto"/>
          </w:tcPr>
          <w:p w:rsidR="00A77B3E">
            <w:pPr>
              <w:pStyle w:val="mqger"/>
              <w:jc w:val="left"/>
            </w:pPr>
            <w:r>
              <w:rPr>
                <w:noProof w:val="0"/>
              </w:rPr>
              <w:t>Überschussrenditen waren positiv.</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w:t>
              <w:br/>
            </w:r>
            <w:r>
              <w:rPr>
                <w:noProof/>
                <w:sz w:val="2"/>
              </w:rPr>
              <w:t>f38df0d4-6719-453f-bd45-0db0a353a6df</w:t>
            </w:r>
          </w:p>
        </w:tc>
        <w:tc>
          <w:tcPr>
            <w:tcW w:w="360" w:type="dxa"/>
            <w:shd w:val="clear" w:color="auto" w:fill="F2F2F2"/>
          </w:tcPr>
          <w:p w:rsidR="00A77B3E">
            <w:pPr>
              <w:pStyle w:val="mqeng"/>
              <w:jc w:val="left"/>
            </w:pPr>
            <w:r>
              <w:rPr>
                <w:noProof/>
              </w:rPr>
              <w:t>&amp;#7;US high yield bond spreads widened over the month in response to the market's solid performance in the fourth quarter and as stronger-than-expected macroeconomic data dashed investor hopes for earlier interest rate cuts.</w:t>
            </w:r>
          </w:p>
        </w:tc>
        <w:tc>
          <w:tcPr>
            <w:tcW w:w="360" w:type="dxa"/>
            <w:shd w:val="clear" w:color="auto" w:fill="auto"/>
          </w:tcPr>
          <w:p w:rsidR="00A77B3E">
            <w:pPr>
              <w:pStyle w:val="mqger"/>
              <w:jc w:val="left"/>
            </w:pPr>
            <w:r>
              <w:rPr>
                <w:noProof w:val="0"/>
              </w:rPr>
              <w:t>&amp;#7;Die Spreads von US-Hochzinsanleihen weiteten sich im Laufe des Monats aus, als die solide Marktperformance im vierten Quartal und stärkere als erwartete makroökonomische Daten die Hoffnungen der Anleger auf frühere Zinssenkungen zunichte machten.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w:t>
              <w:br/>
            </w:r>
            <w:r>
              <w:rPr>
                <w:noProof/>
                <w:sz w:val="2"/>
              </w:rPr>
              <w:t>912cbec7-a071-4108-9f80-370d853ad6e5</w:t>
            </w:r>
          </w:p>
        </w:tc>
        <w:tc>
          <w:tcPr>
            <w:tcW w:w="360" w:type="dxa"/>
            <w:shd w:val="clear" w:color="auto" w:fill="F2F2F2"/>
          </w:tcPr>
          <w:p w:rsidR="00A77B3E">
            <w:pPr>
              <w:pStyle w:val="mqeng"/>
              <w:jc w:val="left"/>
            </w:pPr>
            <w:r>
              <w:rPr>
                <w:noProof/>
              </w:rPr>
              <w:t>Fourth-quarter GDP in the US grew by a much stronger-than-expected 3.3% (annualised), albeit down from 4.9% in the third quarter, and the jobs market remained buoyant.</w:t>
            </w:r>
          </w:p>
        </w:tc>
        <w:tc>
          <w:tcPr>
            <w:tcW w:w="360" w:type="dxa"/>
            <w:shd w:val="clear" w:color="auto" w:fill="auto"/>
          </w:tcPr>
          <w:p w:rsidR="00A77B3E">
            <w:pPr>
              <w:pStyle w:val="mqger"/>
              <w:jc w:val="left"/>
            </w:pPr>
            <w:r>
              <w:rPr>
                <w:noProof w:val="0"/>
              </w:rPr>
              <w:t>Das BIP im vierten Quartal in den USA wuchs um deutlich stärkere als erwartete 3,3 % (annualisiert), wenn auch rückläufig von 4,9 % im dritten Quartal, und der Arbeitsmarkt blieb lebhaft.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w:t>
              <w:br/>
            </w:r>
            <w:r>
              <w:rPr>
                <w:noProof/>
                <w:sz w:val="2"/>
              </w:rPr>
              <w:t>c95eabc8-abdd-4679-8ddd-c318010f4ecf</w:t>
            </w:r>
          </w:p>
        </w:tc>
        <w:tc>
          <w:tcPr>
            <w:tcW w:w="360" w:type="dxa"/>
            <w:shd w:val="clear" w:color="auto" w:fill="F2F2F2"/>
          </w:tcPr>
          <w:p w:rsidR="00A77B3E">
            <w:pPr>
              <w:pStyle w:val="mqeng"/>
              <w:jc w:val="left"/>
            </w:pPr>
            <w:r>
              <w:rPr>
                <w:noProof/>
              </w:rPr>
              <w:t>The economy's strength continued to fuel the 'soft-landing' narrative of last year, but it also raised doubts during the month about when the US Federal Reserve (Fed) would start to loosen monetary policy.</w:t>
            </w:r>
          </w:p>
        </w:tc>
        <w:tc>
          <w:tcPr>
            <w:tcW w:w="360" w:type="dxa"/>
            <w:shd w:val="clear" w:color="auto" w:fill="auto"/>
          </w:tcPr>
          <w:p w:rsidR="00A77B3E">
            <w:pPr>
              <w:pStyle w:val="mqger"/>
              <w:jc w:val="left"/>
            </w:pPr>
            <w:r>
              <w:rPr>
                <w:noProof w:val="0"/>
              </w:rPr>
              <w:t>Die Stärke der Wirtschaft trug weiterhin zur "Sanften Landung"-Erzählung des letzten Jahres bei, weckte jedoch auch im Laufe des Monats Zweifel daran, wann die US-Notenbank (Fed) beginnen würde, die Geldpolitik zu lockern.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w:t>
              <w:br/>
            </w:r>
            <w:r>
              <w:rPr>
                <w:noProof/>
                <w:sz w:val="2"/>
              </w:rPr>
              <w:t>7084fbf4-f1c7-427a-a1f5-74e609033189</w:t>
            </w:r>
          </w:p>
        </w:tc>
        <w:tc>
          <w:tcPr>
            <w:tcW w:w="360" w:type="dxa"/>
            <w:shd w:val="clear" w:color="auto" w:fill="F2F2F2"/>
          </w:tcPr>
          <w:p w:rsidR="00A77B3E">
            <w:pPr>
              <w:pStyle w:val="mqeng"/>
              <w:jc w:val="left"/>
            </w:pPr>
            <w:r>
              <w:rPr>
                <w:noProof/>
              </w:rPr>
              <w:t>Indeed, the Fed held rates steady at its meeting at month end, and Chair Jerome Powell pushed back on imminent interest rate cuts as inflation remains too high.</w:t>
            </w:r>
          </w:p>
        </w:tc>
        <w:tc>
          <w:tcPr>
            <w:tcW w:w="360" w:type="dxa"/>
            <w:shd w:val="clear" w:color="auto" w:fill="auto"/>
          </w:tcPr>
          <w:p w:rsidR="00A77B3E">
            <w:pPr>
              <w:pStyle w:val="mqger"/>
              <w:jc w:val="left"/>
            </w:pPr>
            <w:r>
              <w:rPr>
                <w:noProof w:val="0"/>
              </w:rPr>
              <w:t>In der Tat hielt die Fed die Zinsen bei ihrem Treffen zum Monatsende stabil, und Vorsitzender Jerome Powell wies auf bevorstehende Zinssenkungen hin, da die Inflation weiterhin zu hoch ist.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w:t>
              <w:br/>
            </w:r>
            <w:r>
              <w:rPr>
                <w:noProof/>
                <w:sz w:val="2"/>
              </w:rPr>
              <w:t>6d18f334-32e8-4197-ad34-2837dff8ec51</w:t>
            </w:r>
          </w:p>
        </w:tc>
        <w:tc>
          <w:tcPr>
            <w:tcW w:w="360" w:type="dxa"/>
            <w:shd w:val="clear" w:color="auto" w:fill="F2F2F2"/>
          </w:tcPr>
          <w:p w:rsidR="00A77B3E">
            <w:pPr>
              <w:pStyle w:val="mqeng"/>
              <w:jc w:val="left"/>
            </w:pPr>
            <w:r>
              <w:rPr>
                <w:noProof/>
              </w:rPr>
              <w:t>&amp;#7;In Europe, high yield bond spreads tightened as demand for the asset class increased.</w:t>
            </w:r>
          </w:p>
        </w:tc>
        <w:tc>
          <w:tcPr>
            <w:tcW w:w="360" w:type="dxa"/>
            <w:shd w:val="clear" w:color="auto" w:fill="auto"/>
          </w:tcPr>
          <w:p w:rsidR="00A77B3E">
            <w:pPr>
              <w:pStyle w:val="mqger"/>
              <w:jc w:val="left"/>
            </w:pPr>
            <w:r>
              <w:rPr>
                <w:noProof w:val="0"/>
              </w:rPr>
              <w:t>&amp;#7;In Europa haben sich die Spreads von Hochzinsanleihen verengt, da die Nachfrage nach dieser Anlageklasse gestiegen ist.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w:t>
              <w:br/>
            </w:r>
            <w:r>
              <w:rPr>
                <w:noProof/>
                <w:sz w:val="2"/>
              </w:rPr>
              <w:t>b2d76086-51fc-4d23-a65b-75b9f06efb1c</w:t>
            </w:r>
          </w:p>
        </w:tc>
        <w:tc>
          <w:tcPr>
            <w:tcW w:w="360" w:type="dxa"/>
            <w:shd w:val="clear" w:color="auto" w:fill="F2F2F2"/>
          </w:tcPr>
          <w:p w:rsidR="00A77B3E">
            <w:pPr>
              <w:pStyle w:val="mqeng"/>
              <w:jc w:val="left"/>
            </w:pPr>
            <w:r>
              <w:rPr>
                <w:noProof/>
              </w:rPr>
              <w:t>The European Central Bank (ECB) also held rates steady, but highlighted easing pricing pressures, which increased expectations that policymakers could loosen monetary policy as early as April.</w:t>
            </w:r>
          </w:p>
        </w:tc>
        <w:tc>
          <w:tcPr>
            <w:tcW w:w="360" w:type="dxa"/>
            <w:shd w:val="clear" w:color="auto" w:fill="auto"/>
          </w:tcPr>
          <w:p w:rsidR="00A77B3E">
            <w:pPr>
              <w:pStyle w:val="mqger"/>
              <w:jc w:val="left"/>
            </w:pPr>
            <w:r>
              <w:rPr>
                <w:noProof w:val="0"/>
              </w:rPr>
              <w:t>Die Europäische Zentralbank (EZB) hielt die Zinsen ebenfalls stabil, hob jedoch den nachlassenden Preisdruck hervor, was die Erwartungen erhöhte, dass die politischen Entscheidungsträger die Geldpolitik bereits im April lockern könnten.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w:t>
              <w:br/>
            </w:r>
            <w:r>
              <w:rPr>
                <w:noProof/>
                <w:sz w:val="2"/>
              </w:rPr>
              <w:t>6421eb88-3dd4-496f-a6ba-9fe103fa953b</w:t>
            </w:r>
          </w:p>
        </w:tc>
        <w:tc>
          <w:tcPr>
            <w:tcW w:w="360" w:type="dxa"/>
            <w:shd w:val="clear" w:color="auto" w:fill="F2F2F2"/>
          </w:tcPr>
          <w:p w:rsidR="00A77B3E">
            <w:pPr>
              <w:pStyle w:val="mqeng"/>
              <w:jc w:val="left"/>
            </w:pPr>
            <w:r>
              <w:rPr>
                <w:noProof/>
              </w:rPr>
              <w:t>Meanwhile, concerns around supply chains flared up once again, with the US and UK conducted airstrikes on Houthi militants in Yemen following attacks on shipping in the Red Sea.</w:t>
            </w:r>
          </w:p>
        </w:tc>
        <w:tc>
          <w:tcPr>
            <w:tcW w:w="360" w:type="dxa"/>
            <w:shd w:val="clear" w:color="auto" w:fill="auto"/>
          </w:tcPr>
          <w:p w:rsidR="00A77B3E">
            <w:pPr>
              <w:pStyle w:val="mqger"/>
              <w:jc w:val="left"/>
            </w:pPr>
            <w:r>
              <w:rPr>
                <w:noProof w:val="0"/>
              </w:rPr>
              <w:t>In der Zwischenzeit sind die Bedenken hinsichtlich der Lieferketten erneut aufgeflammt, nachdem die USA und das Vereinigte Königreich Luftangriffe auf Houthi-Milizen im Jemen durchgeführt haben, nachdem es Angriffe auf den Schiffsverkehr im Roten Meer gegeben hatte.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w:t>
              <w:br/>
            </w:r>
            <w:r>
              <w:rPr>
                <w:noProof/>
                <w:sz w:val="2"/>
              </w:rPr>
              <w:t>808537fc-cfb8-4133-93de-b32e40541cba</w:t>
            </w:r>
          </w:p>
        </w:tc>
        <w:tc>
          <w:tcPr>
            <w:tcW w:w="360" w:type="dxa"/>
            <w:shd w:val="clear" w:color="auto" w:fill="F2F2F2"/>
          </w:tcPr>
          <w:p w:rsidR="00A77B3E">
            <w:pPr>
              <w:pStyle w:val="mqeng"/>
              <w:jc w:val="left"/>
            </w:pPr>
            <w:r>
              <w:rPr>
                <w:noProof/>
              </w:rPr>
              <w:t>&amp;#7;European and emerging market high yield bonds performed positively and broadly in line, while US high yield posted a negative excess return.</w:t>
            </w:r>
          </w:p>
        </w:tc>
        <w:tc>
          <w:tcPr>
            <w:tcW w:w="360" w:type="dxa"/>
            <w:shd w:val="clear" w:color="auto" w:fill="auto"/>
          </w:tcPr>
          <w:p w:rsidR="00A77B3E">
            <w:pPr>
              <w:pStyle w:val="mqger"/>
              <w:jc w:val="left"/>
            </w:pPr>
            <w:r>
              <w:rPr>
                <w:noProof w:val="0"/>
              </w:rPr>
              <w:t>&amp;#7;Europäische und Schwellenländer-Hochzinsanleihen haben sich positiv entwickelt und lagen insgesamt im Einklang, während US-Hochzinsanleihen eine negative Überrendite verzeichneten.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w:t>
              <w:br/>
            </w:r>
            <w:r>
              <w:rPr>
                <w:noProof/>
                <w:sz w:val="2"/>
              </w:rPr>
              <w:t>7afe48ff-81fc-46bc-a232-e5e47a221e1b</w:t>
            </w:r>
          </w:p>
        </w:tc>
        <w:tc>
          <w:tcPr>
            <w:tcW w:w="360" w:type="dxa"/>
            <w:shd w:val="clear" w:color="auto" w:fill="F2F2F2"/>
          </w:tcPr>
          <w:p w:rsidR="00A77B3E">
            <w:pPr>
              <w:pStyle w:val="mqeng"/>
              <w:jc w:val="left"/>
            </w:pPr>
            <w:r>
              <w:rPr>
                <w:noProof/>
              </w:rPr>
              <w:t>All rating categories in the US posted negative excess returns, with BB-rated bonds performing the best and CCC-rated bonds performing the worst.</w:t>
            </w:r>
          </w:p>
        </w:tc>
        <w:tc>
          <w:tcPr>
            <w:tcW w:w="360" w:type="dxa"/>
            <w:shd w:val="clear" w:color="auto" w:fill="auto"/>
          </w:tcPr>
          <w:p w:rsidR="00A77B3E">
            <w:pPr>
              <w:pStyle w:val="mqger"/>
              <w:jc w:val="left"/>
            </w:pPr>
            <w:r>
              <w:rPr>
                <w:noProof w:val="0"/>
              </w:rPr>
              <w:t>Alle Ratingkategorien in den USA verzeichneten negative Überschussrenditen, wobei Anleihen mit BB-Rating am besten und Anleihen mit CCC-Rating am schlechtesten abschnitten.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w:t>
              <w:br/>
            </w:r>
            <w:r>
              <w:rPr>
                <w:noProof/>
                <w:sz w:val="2"/>
              </w:rPr>
              <w:t>5b2acd18-db47-4f17-9991-5bd2ca9d8970</w:t>
            </w:r>
          </w:p>
        </w:tc>
        <w:tc>
          <w:tcPr>
            <w:tcW w:w="360" w:type="dxa"/>
            <w:shd w:val="clear" w:color="auto" w:fill="F2F2F2"/>
          </w:tcPr>
          <w:p w:rsidR="00A77B3E">
            <w:pPr>
              <w:pStyle w:val="mqeng"/>
              <w:jc w:val="left"/>
            </w:pPr>
            <w:r>
              <w:rPr>
                <w:noProof/>
              </w:rPr>
              <w:t>In Europe, CCC-rated bonds performed the best, followed by B-rated bonds and then BB-rated bonds.</w:t>
            </w:r>
          </w:p>
        </w:tc>
        <w:tc>
          <w:tcPr>
            <w:tcW w:w="360" w:type="dxa"/>
            <w:shd w:val="clear" w:color="auto" w:fill="auto"/>
          </w:tcPr>
          <w:p w:rsidR="00A77B3E">
            <w:pPr>
              <w:pStyle w:val="mqger"/>
              <w:jc w:val="left"/>
            </w:pPr>
            <w:r>
              <w:rPr>
                <w:noProof w:val="0"/>
              </w:rPr>
              <w:t>In Europa haben Anleihen mit CCC-Rating am besten abgeschnitten, gefolgt von Anleihen mit einem Rating von B- und dann Anleihen mit einem Rating von BB.</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w:t>
              <w:br/>
            </w:r>
            <w:r>
              <w:rPr>
                <w:noProof/>
                <w:sz w:val="2"/>
              </w:rPr>
              <w:t>bca6a815-8970-47be-a178-6244ae175797</w:t>
            </w:r>
          </w:p>
        </w:tc>
        <w:tc>
          <w:tcPr>
            <w:tcW w:w="360" w:type="dxa"/>
            <w:shd w:val="clear" w:color="auto" w:fill="F2F2F2"/>
          </w:tcPr>
          <w:p w:rsidR="00A77B3E">
            <w:pPr>
              <w:pStyle w:val="mqeng"/>
              <w:jc w:val="left"/>
            </w:pPr>
            <w:r>
              <w:rPr>
                <w:b/>
                <w:i w:val="0"/>
                <w:noProof/>
                <w:u w:val="none"/>
                <w:vertAlign w:val="baseline"/>
              </w:rPr>
              <w:t>Portfolio review</w:t>
            </w:r>
          </w:p>
        </w:tc>
        <w:tc>
          <w:tcPr>
            <w:tcW w:w="360" w:type="dxa"/>
            <w:shd w:val="clear" w:color="auto" w:fill="auto"/>
          </w:tcPr>
          <w:p w:rsidR="00A77B3E">
            <w:pPr>
              <w:pStyle w:val="mqger"/>
              <w:jc w:val="left"/>
            </w:pPr>
            <w:r>
              <w:rPr>
                <w:b/>
                <w:i w:val="0"/>
                <w:noProof w:val="0"/>
                <w:u w:val="none"/>
                <w:vertAlign w:val="baseline"/>
              </w:rPr>
              <w:t>Portfoliorückblick</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w:t>
              <w:br/>
            </w:r>
            <w:r>
              <w:rPr>
                <w:noProof/>
                <w:sz w:val="2"/>
              </w:rPr>
              <w:t>1cca70e9-63e8-4c88-b218-bdefc09e55f3</w:t>
            </w:r>
          </w:p>
        </w:tc>
        <w:tc>
          <w:tcPr>
            <w:tcW w:w="360" w:type="dxa"/>
            <w:shd w:val="clear" w:color="auto" w:fill="F2F2F2"/>
          </w:tcPr>
          <w:p w:rsidR="00A77B3E">
            <w:pPr>
              <w:pStyle w:val="mqeng"/>
              <w:jc w:val="left"/>
            </w:pPr>
            <w:r>
              <w:rPr>
                <w:noProof/>
              </w:rPr>
              <w:t>Security selection was the key driver of outperformance while sector allocation also contributed positively.</w:t>
            </w:r>
          </w:p>
        </w:tc>
        <w:tc>
          <w:tcPr>
            <w:tcW w:w="360" w:type="dxa"/>
            <w:shd w:val="clear" w:color="auto" w:fill="auto"/>
          </w:tcPr>
          <w:p w:rsidR="00A77B3E">
            <w:pPr>
              <w:pStyle w:val="mqger"/>
              <w:jc w:val="left"/>
            </w:pPr>
            <w:r>
              <w:rPr>
                <w:noProof w:val="0"/>
              </w:rPr>
              <w:t>Die Titelauswahl war der entscheidende Faktor für die Outperformance, während die Sektorallokation ebenfalls positiv Beiträge leistete.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w:t>
              <w:br/>
            </w:r>
            <w:r>
              <w:rPr>
                <w:noProof/>
                <w:sz w:val="2"/>
              </w:rPr>
              <w:t>709ce8dc-91d4-4956-8c8b-69f1cd513233</w:t>
            </w:r>
          </w:p>
        </w:tc>
        <w:tc>
          <w:tcPr>
            <w:tcW w:w="360" w:type="dxa"/>
            <w:shd w:val="clear" w:color="auto" w:fill="F2F2F2"/>
          </w:tcPr>
          <w:p w:rsidR="00A77B3E">
            <w:pPr>
              <w:pStyle w:val="mqeng"/>
              <w:jc w:val="left"/>
            </w:pPr>
            <w:r>
              <w:rPr>
                <w:noProof/>
              </w:rPr>
              <w:t>At the sector level, underweight positions in media and telecommunications contributed positively to performance.</w:t>
            </w:r>
          </w:p>
        </w:tc>
        <w:tc>
          <w:tcPr>
            <w:tcW w:w="360" w:type="dxa"/>
            <w:shd w:val="clear" w:color="auto" w:fill="auto"/>
          </w:tcPr>
          <w:p w:rsidR="00A77B3E">
            <w:pPr>
              <w:pStyle w:val="mqger"/>
              <w:jc w:val="left"/>
            </w:pPr>
            <w:r>
              <w:rPr>
                <w:noProof w:val="0"/>
              </w:rPr>
              <w:t>Auf Sektorebene trugen untergewichtete Positionen in Medien und Telekommunikationssektor positiv zur Performance bei.</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w:t>
              <w:br/>
            </w:r>
            <w:r>
              <w:rPr>
                <w:noProof/>
                <w:sz w:val="2"/>
              </w:rPr>
              <w:t>794b8da6-d488-4eae-aecc-225698c76422</w:t>
            </w:r>
          </w:p>
        </w:tc>
        <w:tc>
          <w:tcPr>
            <w:tcW w:w="360" w:type="dxa"/>
            <w:shd w:val="clear" w:color="auto" w:fill="F2F2F2"/>
          </w:tcPr>
          <w:p w:rsidR="00A77B3E">
            <w:pPr>
              <w:pStyle w:val="mqeng"/>
              <w:jc w:val="left"/>
            </w:pPr>
            <w:r>
              <w:rPr>
                <w:noProof/>
              </w:rPr>
              <w:t>An underweight position in real estate detracted, as the sector was one of the best performing in January.</w:t>
            </w:r>
          </w:p>
        </w:tc>
        <w:tc>
          <w:tcPr>
            <w:tcW w:w="360" w:type="dxa"/>
            <w:shd w:val="clear" w:color="auto" w:fill="auto"/>
          </w:tcPr>
          <w:p w:rsidR="00A77B3E">
            <w:pPr>
              <w:pStyle w:val="mqger"/>
              <w:jc w:val="left"/>
            </w:pPr>
            <w:r>
              <w:rPr>
                <w:noProof w:val="0"/>
              </w:rPr>
              <w:t>Eine untergewichtete Position im Immobiliensektor hat abgezogen, da der Sektor im Januar eine der besten Performances zeigte.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w:t>
              <w:br/>
            </w:r>
            <w:r>
              <w:rPr>
                <w:noProof/>
                <w:sz w:val="2"/>
              </w:rPr>
              <w:t>fa67e9b7-e531-4ab3-b073-4c648b588aa6</w:t>
            </w:r>
          </w:p>
        </w:tc>
        <w:tc>
          <w:tcPr>
            <w:tcW w:w="360" w:type="dxa"/>
            <w:shd w:val="clear" w:color="auto" w:fill="F2F2F2"/>
          </w:tcPr>
          <w:p w:rsidR="00A77B3E">
            <w:pPr>
              <w:pStyle w:val="mqeng"/>
              <w:jc w:val="left"/>
            </w:pPr>
            <w:r>
              <w:rPr>
                <w:noProof/>
              </w:rPr>
              <w:t>However, the fund benefited from strongly positive security selection here.</w:t>
            </w:r>
          </w:p>
        </w:tc>
        <w:tc>
          <w:tcPr>
            <w:tcW w:w="360" w:type="dxa"/>
            <w:shd w:val="clear" w:color="auto" w:fill="auto"/>
          </w:tcPr>
          <w:p w:rsidR="00A77B3E">
            <w:pPr>
              <w:pStyle w:val="mqger"/>
              <w:jc w:val="left"/>
            </w:pPr>
            <w:r>
              <w:rPr>
                <w:noProof w:val="0"/>
              </w:rPr>
              <w:t>Hingegen profitierte der Fonds hier von starken positiven Titelauswahl.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w:t>
              <w:br/>
            </w:r>
            <w:r>
              <w:rPr>
                <w:noProof/>
                <w:sz w:val="2"/>
              </w:rPr>
              <w:t>484d90a5-484e-4c6d-bd76-5aedabf69e51</w:t>
            </w:r>
          </w:p>
        </w:tc>
        <w:tc>
          <w:tcPr>
            <w:tcW w:w="360" w:type="dxa"/>
            <w:shd w:val="clear" w:color="auto" w:fill="F2F2F2"/>
          </w:tcPr>
          <w:p w:rsidR="00A77B3E">
            <w:pPr>
              <w:pStyle w:val="mqeng"/>
              <w:jc w:val="left"/>
            </w:pPr>
            <w:r>
              <w:rPr>
                <w:noProof/>
              </w:rPr>
              <w:t>Security selection in telecommunications, technology and electronics and retail also added value, while security selection in capital goods hurt returns.</w:t>
            </w:r>
          </w:p>
        </w:tc>
        <w:tc>
          <w:tcPr>
            <w:tcW w:w="360" w:type="dxa"/>
            <w:shd w:val="clear" w:color="auto" w:fill="auto"/>
          </w:tcPr>
          <w:p w:rsidR="00A77B3E">
            <w:pPr>
              <w:pStyle w:val="mqger"/>
              <w:jc w:val="left"/>
            </w:pPr>
            <w:r>
              <w:rPr>
                <w:noProof w:val="0"/>
              </w:rPr>
              <w:t>Die Titelauswahl in den Bereichen Telekommunikation, Technologie und Elektronik sowie im Einzelhandel trug ebenfalls zur Wertschöpfung bei, während die Titelauswahl im Bereich Investitionsgüter die Rendite belastete.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w:t>
              <w:br/>
            </w:r>
            <w:r>
              <w:rPr>
                <w:noProof/>
                <w:sz w:val="2"/>
              </w:rPr>
              <w:t>2e6f9cfc-2d68-419f-9f7b-6b5fd5bd9dbc</w:t>
            </w:r>
          </w:p>
        </w:tc>
        <w:tc>
          <w:tcPr>
            <w:tcW w:w="360" w:type="dxa"/>
            <w:shd w:val="clear" w:color="auto" w:fill="F2F2F2"/>
          </w:tcPr>
          <w:p w:rsidR="00A77B3E">
            <w:pPr>
              <w:pStyle w:val="mqeng"/>
              <w:jc w:val="left"/>
            </w:pPr>
            <w:r>
              <w:rPr>
                <w:noProof/>
              </w:rPr>
              <w:t>Regionally, security selection in Europe and North America contributed positively to performance, while security selection in emerging markets detracted.</w:t>
            </w:r>
          </w:p>
        </w:tc>
        <w:tc>
          <w:tcPr>
            <w:tcW w:w="360" w:type="dxa"/>
            <w:shd w:val="clear" w:color="auto" w:fill="auto"/>
          </w:tcPr>
          <w:p w:rsidR="00A77B3E">
            <w:pPr>
              <w:pStyle w:val="mqger"/>
              <w:jc w:val="left"/>
            </w:pPr>
            <w:r>
              <w:rPr>
                <w:noProof w:val="0"/>
              </w:rPr>
              <w:t>Regional trug die Titelauswahl in Europa und Nordamerika positiv zur Performance bei, während die Titelauswahl in den Schwellenländern belastete.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w:t>
              <w:br/>
            </w:r>
            <w:r>
              <w:rPr>
                <w:noProof/>
                <w:sz w:val="2"/>
              </w:rPr>
              <w:t>5d2d5e63-02c4-4182-97e2-d60b64ef1787</w:t>
            </w:r>
          </w:p>
        </w:tc>
        <w:tc>
          <w:tcPr>
            <w:tcW w:w="360" w:type="dxa"/>
            <w:shd w:val="clear" w:color="auto" w:fill="F2F2F2"/>
          </w:tcPr>
          <w:p w:rsidR="00A77B3E">
            <w:pPr>
              <w:pStyle w:val="mqeng"/>
              <w:jc w:val="left"/>
            </w:pPr>
            <w:r>
              <w:rPr>
                <w:noProof/>
              </w:rPr>
              <w:t>At the issuer level, the fund's overweight position in European REIT CPI Property contributed strongly to returns.</w:t>
            </w:r>
          </w:p>
        </w:tc>
        <w:tc>
          <w:tcPr>
            <w:tcW w:w="360" w:type="dxa"/>
            <w:shd w:val="clear" w:color="auto" w:fill="auto"/>
          </w:tcPr>
          <w:p w:rsidR="00A77B3E">
            <w:pPr>
              <w:pStyle w:val="mqger"/>
              <w:jc w:val="left"/>
            </w:pPr>
            <w:r>
              <w:rPr>
                <w:noProof w:val="0"/>
              </w:rPr>
              <w:t>Auf der Emittentenebene trug die übergewichtete Position des Fonds in Verbraucherpreisindex-VPI Property stark zur Rendite bei.</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w:t>
              <w:br/>
            </w:r>
            <w:r>
              <w:rPr>
                <w:noProof/>
                <w:sz w:val="2"/>
              </w:rPr>
              <w:t>0e1290c2-8c96-4e6c-89a5-59ac6b6fa526</w:t>
            </w:r>
          </w:p>
        </w:tc>
        <w:tc>
          <w:tcPr>
            <w:tcW w:w="360" w:type="dxa"/>
            <w:shd w:val="clear" w:color="auto" w:fill="F2F2F2"/>
          </w:tcPr>
          <w:p w:rsidR="00A77B3E">
            <w:pPr>
              <w:pStyle w:val="mqeng"/>
              <w:jc w:val="left"/>
            </w:pPr>
            <w:r>
              <w:rPr>
                <w:noProof/>
              </w:rPr>
              <w:t>CPI underperformed in 2023, as the high interest rate environment put pressure on its business model and following December's news that Muddy waters (the short-selling hedge fund) had bet against it.</w:t>
            </w:r>
          </w:p>
        </w:tc>
        <w:tc>
          <w:tcPr>
            <w:tcW w:w="360" w:type="dxa"/>
            <w:shd w:val="clear" w:color="auto" w:fill="auto"/>
          </w:tcPr>
          <w:p w:rsidR="00A77B3E">
            <w:pPr>
              <w:pStyle w:val="mqger"/>
              <w:jc w:val="left"/>
            </w:pPr>
            <w:r>
              <w:rPr>
                <w:noProof w:val="0"/>
              </w:rPr>
              <w:t>Der CPI hat im Jahr 2023 unterdurchschnittlich abgeschnitten, da das hohe Zinsumfeld Druck auf sein Geschäftsmodell ausübte und nach den Nachrichten im Dezember, dass Muddy Waters (der Leerverkaufs-Hedgefonds) gegen ihn gewettet hatte.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w:t>
              <w:br/>
            </w:r>
            <w:r>
              <w:rPr>
                <w:noProof/>
                <w:sz w:val="2"/>
              </w:rPr>
              <w:t>867e5fb1-de11-4754-ac1b-889d02ff59c5</w:t>
            </w:r>
          </w:p>
        </w:tc>
        <w:tc>
          <w:tcPr>
            <w:tcW w:w="360" w:type="dxa"/>
            <w:shd w:val="clear" w:color="auto" w:fill="F2F2F2"/>
          </w:tcPr>
          <w:p w:rsidR="00A77B3E">
            <w:pPr>
              <w:pStyle w:val="mqeng"/>
              <w:jc w:val="left"/>
            </w:pPr>
            <w:r>
              <w:rPr>
                <w:noProof/>
              </w:rPr>
              <w:t>However, its spread tightened significantly in January, alongside the broader REIT sector, as investor expectations for a cut in interest rates deepened.</w:t>
            </w:r>
          </w:p>
        </w:tc>
        <w:tc>
          <w:tcPr>
            <w:tcW w:w="360" w:type="dxa"/>
            <w:shd w:val="clear" w:color="auto" w:fill="auto"/>
          </w:tcPr>
          <w:p w:rsidR="00A77B3E">
            <w:pPr>
              <w:pStyle w:val="mqger"/>
              <w:jc w:val="left"/>
            </w:pPr>
            <w:r>
              <w:rPr>
                <w:noProof w:val="0"/>
              </w:rPr>
              <w:t>Die Spanne hat sich jedoch im Januar erheblich verengt, parallel zum breiteren REIT-Sektor, da die Erwartungen der Anleger an eine Zinssenkung zugenommen haben.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w:t>
              <w:br/>
            </w:r>
            <w:r>
              <w:rPr>
                <w:noProof/>
                <w:sz w:val="2"/>
              </w:rPr>
              <w:t>eeda9ccf-7621-4ddb-b036-169be4ea4322</w:t>
            </w:r>
          </w:p>
        </w:tc>
        <w:tc>
          <w:tcPr>
            <w:tcW w:w="360" w:type="dxa"/>
            <w:shd w:val="clear" w:color="auto" w:fill="F2F2F2"/>
          </w:tcPr>
          <w:p w:rsidR="00A77B3E">
            <w:pPr>
              <w:pStyle w:val="mqeng"/>
              <w:jc w:val="left"/>
            </w:pPr>
            <w:r>
              <w:rPr>
                <w:noProof/>
              </w:rPr>
              <w:t>Elsewhere, an overweight position in UK energy company EDF contributed positively to performance, despite news flow in January around increased costs for its nuclear plant currently being built in the UK.</w:t>
            </w:r>
          </w:p>
        </w:tc>
        <w:tc>
          <w:tcPr>
            <w:tcW w:w="360" w:type="dxa"/>
            <w:shd w:val="clear" w:color="auto" w:fill="auto"/>
          </w:tcPr>
          <w:p w:rsidR="00A77B3E">
            <w:pPr>
              <w:pStyle w:val="mqger"/>
              <w:jc w:val="left"/>
            </w:pPr>
            <w:r>
              <w:rPr>
                <w:noProof w:val="0"/>
              </w:rPr>
              <w:t>Anderswo trug eine Übergewichtung in das britische Energieunternehmen EDF positiv zur Performance bei, trotz der Nachrichten im Januar über steigende Kosten für das derzeit im Vereinigten Königreich im Bau befindliche Kernkraftwerk.</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w:t>
              <w:br/>
            </w:r>
            <w:r>
              <w:rPr>
                <w:noProof/>
                <w:sz w:val="2"/>
              </w:rPr>
              <w:t>c656efea-3346-4a5a-96e3-531de5616164</w:t>
            </w:r>
          </w:p>
        </w:tc>
        <w:tc>
          <w:tcPr>
            <w:tcW w:w="360" w:type="dxa"/>
            <w:shd w:val="clear" w:color="auto" w:fill="F2F2F2"/>
          </w:tcPr>
          <w:p w:rsidR="00A77B3E">
            <w:pPr>
              <w:pStyle w:val="mqeng"/>
              <w:jc w:val="left"/>
            </w:pPr>
            <w:r>
              <w:rPr>
                <w:noProof/>
              </w:rPr>
              <w:t>Not holding US television provider Dish Network, France-based information technology company Atos and construction engineering firm CSC also helped returns.</w:t>
            </w:r>
          </w:p>
        </w:tc>
        <w:tc>
          <w:tcPr>
            <w:tcW w:w="360" w:type="dxa"/>
            <w:shd w:val="clear" w:color="auto" w:fill="auto"/>
          </w:tcPr>
          <w:p w:rsidR="00A77B3E">
            <w:pPr>
              <w:pStyle w:val="mqger"/>
              <w:jc w:val="left"/>
            </w:pPr>
            <w:r>
              <w:rPr>
                <w:noProof w:val="0"/>
              </w:rPr>
              <w:t>Die Nicht-Haltung von US-Logist Dish Network, dem in Frankreich ansässigen Informationstechnologieunternehmen Atos und dem Baubauunternehmen CSC trug ebenfalls zur Rendite bei.</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w:t>
              <w:br/>
            </w:r>
            <w:r>
              <w:rPr>
                <w:noProof/>
                <w:sz w:val="2"/>
              </w:rPr>
              <w:t>ee91b8c4-ec8d-413b-a91a-9f227a8de5bd</w:t>
            </w:r>
          </w:p>
        </w:tc>
        <w:tc>
          <w:tcPr>
            <w:tcW w:w="360" w:type="dxa"/>
            <w:shd w:val="clear" w:color="auto" w:fill="F2F2F2"/>
          </w:tcPr>
          <w:p w:rsidR="00A77B3E">
            <w:pPr>
              <w:pStyle w:val="mqeng"/>
              <w:jc w:val="left"/>
            </w:pPr>
            <w:r>
              <w:rPr>
                <w:noProof/>
              </w:rPr>
              <w:t>Conversely, overweight positions in paper and packaging company LABL, Mexico City International Airport, which is an emerging market corporate issuer, and US television network Univision hurt returns.</w:t>
            </w:r>
          </w:p>
        </w:tc>
        <w:tc>
          <w:tcPr>
            <w:tcW w:w="360" w:type="dxa"/>
            <w:shd w:val="clear" w:color="auto" w:fill="auto"/>
          </w:tcPr>
          <w:p w:rsidR="00A77B3E">
            <w:pPr>
              <w:pStyle w:val="mqger"/>
              <w:jc w:val="left"/>
            </w:pPr>
            <w:r>
              <w:rPr>
                <w:noProof w:val="0"/>
              </w:rPr>
              <w:t>Im Gegensatz dazu belasteten die übergewichteten Positionen im Papier- und Verpackungsunternehmen LABL, Mexiko City International Airport, das ein Unternehmensemittenten aus Schwellenländern ist, und im US-Luftnetz Univision die Rendite.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w:t>
              <w:br/>
            </w:r>
            <w:r>
              <w:rPr>
                <w:noProof/>
                <w:sz w:val="2"/>
              </w:rPr>
              <w:t>9c5b421f-36ea-4f48-89f3-a2944a1f43f0</w:t>
            </w:r>
          </w:p>
        </w:tc>
        <w:tc>
          <w:tcPr>
            <w:tcW w:w="360" w:type="dxa"/>
            <w:shd w:val="clear" w:color="auto" w:fill="F2F2F2"/>
          </w:tcPr>
          <w:p w:rsidR="00A77B3E">
            <w:pPr>
              <w:pStyle w:val="mqeng"/>
              <w:jc w:val="left"/>
            </w:pPr>
            <w:r>
              <w:rPr>
                <w:noProof/>
              </w:rPr>
              <w:t>Not holding some issuers that rallied during the month also weighed on relative returns, including chemicals company Chart Industries and European real estate company Heimstaden Bostad.</w:t>
            </w:r>
          </w:p>
        </w:tc>
        <w:tc>
          <w:tcPr>
            <w:tcW w:w="360" w:type="dxa"/>
            <w:shd w:val="clear" w:color="auto" w:fill="auto"/>
          </w:tcPr>
          <w:p w:rsidR="00A77B3E">
            <w:pPr>
              <w:pStyle w:val="mqger"/>
              <w:jc w:val="left"/>
            </w:pPr>
            <w:r>
              <w:rPr>
                <w:noProof w:val="0"/>
              </w:rPr>
              <w:t>Das Nicht-Halten einiger Emittenten, die im Laufe des Monats gestiegen sind, belastete ebenfalls die relativen Renditen, darunter das Chemieunternehmen Chart Industries und das europäische Immobilienunternehmen Heimstaden Bostad.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w:t>
              <w:br/>
            </w:r>
            <w:r>
              <w:rPr>
                <w:noProof/>
                <w:sz w:val="2"/>
              </w:rPr>
              <w:t>29e70eae-5199-475d-8cd5-5894863443bb</w:t>
            </w:r>
          </w:p>
        </w:tc>
        <w:tc>
          <w:tcPr>
            <w:tcW w:w="360" w:type="dxa"/>
            <w:shd w:val="clear" w:color="auto" w:fill="F2F2F2"/>
          </w:tcPr>
          <w:p w:rsidR="00A77B3E">
            <w:pPr>
              <w:pStyle w:val="mqeng"/>
              <w:jc w:val="left"/>
            </w:pPr>
            <w:r>
              <w:rPr>
                <w:noProof/>
              </w:rPr>
              <w:t>We added some new issues to the fund during the month, including real estate logistics company Logicor and UK chemicals firm Ineos.</w:t>
            </w:r>
          </w:p>
        </w:tc>
        <w:tc>
          <w:tcPr>
            <w:tcW w:w="360" w:type="dxa"/>
            <w:shd w:val="clear" w:color="auto" w:fill="auto"/>
          </w:tcPr>
          <w:p w:rsidR="00A77B3E">
            <w:pPr>
              <w:pStyle w:val="mqger"/>
              <w:jc w:val="left"/>
            </w:pPr>
            <w:r>
              <w:rPr>
                <w:noProof w:val="0"/>
              </w:rPr>
              <w:t>Wir haben im Laufe des Monats einige Neuemissionen zum Portfolio hinzugefügt, darunter die Immobilienlogist Logicor und das britische Chemieunternehmen Ineos.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w:t>
              <w:br/>
            </w:r>
            <w:r>
              <w:rPr>
                <w:noProof/>
                <w:sz w:val="2"/>
              </w:rPr>
              <w:t>783ecd1d-9644-4c4c-b821-e849d4be2397</w:t>
            </w:r>
          </w:p>
        </w:tc>
        <w:tc>
          <w:tcPr>
            <w:tcW w:w="360" w:type="dxa"/>
            <w:shd w:val="clear" w:color="auto" w:fill="F2F2F2"/>
          </w:tcPr>
          <w:p w:rsidR="00A77B3E">
            <w:pPr>
              <w:pStyle w:val="mqeng"/>
              <w:jc w:val="left"/>
            </w:pPr>
            <w:r>
              <w:rPr>
                <w:noProof/>
              </w:rPr>
              <w:t>Elsewhere, the automotive sector was hit hard at the beginning of 2023 with spreads widening, so we added a new bond from German automotive company Schaeffler, which was attractively priced.</w:t>
            </w:r>
          </w:p>
        </w:tc>
        <w:tc>
          <w:tcPr>
            <w:tcW w:w="360" w:type="dxa"/>
            <w:shd w:val="clear" w:color="auto" w:fill="auto"/>
          </w:tcPr>
          <w:p w:rsidR="00A77B3E">
            <w:pPr>
              <w:pStyle w:val="mqger"/>
              <w:jc w:val="left"/>
            </w:pPr>
            <w:r>
              <w:rPr>
                <w:noProof w:val="0"/>
              </w:rPr>
              <w:t>Anderswo wurde der Automobilsektor zu Beginn des Jahres 2023 stark getroffen, da sich die Spreads ausweiteten, weshalb wir eine neue Anleihe des deutschen Automobilunternehmens Schaefflers hinzugefügt haben, die attraktiv bewertet war.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w:t>
              <w:br/>
            </w:r>
            <w:r>
              <w:rPr>
                <w:noProof/>
                <w:sz w:val="2"/>
              </w:rPr>
              <w:t>dde82fa0-9fb8-41f4-baa7-ffd71da40b88</w:t>
            </w:r>
          </w:p>
        </w:tc>
        <w:tc>
          <w:tcPr>
            <w:tcW w:w="360" w:type="dxa"/>
            <w:shd w:val="clear" w:color="auto" w:fill="F2F2F2"/>
          </w:tcPr>
          <w:p w:rsidR="00A77B3E">
            <w:pPr>
              <w:pStyle w:val="mqeng"/>
              <w:jc w:val="left"/>
            </w:pPr>
            <w:r>
              <w:rPr>
                <w:noProof/>
              </w:rPr>
              <w:t>We increased the fund's exposure in housebuilder Miller Homes, as we like the outlook for its business, given sustained demand for new build homes and as mortgage rates begin to fall.</w:t>
            </w:r>
          </w:p>
        </w:tc>
        <w:tc>
          <w:tcPr>
            <w:tcW w:w="360" w:type="dxa"/>
            <w:shd w:val="clear" w:color="auto" w:fill="auto"/>
          </w:tcPr>
          <w:p w:rsidR="00A77B3E">
            <w:pPr>
              <w:pStyle w:val="mqger"/>
              <w:jc w:val="left"/>
            </w:pPr>
            <w:r>
              <w:rPr>
                <w:noProof w:val="0"/>
              </w:rPr>
              <w:t>Wir haben die Beteiligung des Fonds am Hausbauer Miller Homes erhöht, da wir die Aussichten für sein Geschäft positiv einschätzen, angesichts der anhaltenden Nachfrage nach Neubauten und da die Hypothekenzinsen zu sinken beginnen.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w:t>
              <w:br/>
            </w:r>
            <w:r>
              <w:rPr>
                <w:noProof/>
                <w:sz w:val="2"/>
              </w:rPr>
              <w:t>61e891a9-f49f-4e65-a764-8677510ac019</w:t>
            </w:r>
          </w:p>
        </w:tc>
        <w:tc>
          <w:tcPr>
            <w:tcW w:w="360" w:type="dxa"/>
            <w:shd w:val="clear" w:color="auto" w:fill="F2F2F2"/>
          </w:tcPr>
          <w:p w:rsidR="00A77B3E">
            <w:pPr>
              <w:pStyle w:val="mqeng"/>
              <w:jc w:val="left"/>
            </w:pPr>
            <w:r>
              <w:rPr>
                <w:b/>
                <w:i w:val="0"/>
                <w:noProof/>
                <w:u w:val="none"/>
                <w:vertAlign w:val="baseline"/>
              </w:rPr>
              <w:t>Contributors/detractors</w:t>
            </w:r>
          </w:p>
        </w:tc>
        <w:tc>
          <w:tcPr>
            <w:tcW w:w="360" w:type="dxa"/>
            <w:shd w:val="clear" w:color="auto" w:fill="auto"/>
          </w:tcPr>
          <w:p w:rsidR="00A77B3E">
            <w:pPr>
              <w:pStyle w:val="mqger"/>
              <w:jc w:val="left"/>
            </w:pPr>
            <w:r>
              <w:rPr>
                <w:b/>
                <w:i w:val="0"/>
                <w:noProof w:val="0"/>
                <w:u w:val="none"/>
                <w:vertAlign w:val="baseline"/>
              </w:rPr>
              <w:t>Beiträge/Abstimmungen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w:t>
              <w:br/>
            </w:r>
            <w:r>
              <w:rPr>
                <w:noProof/>
                <w:sz w:val="2"/>
              </w:rPr>
              <w:t>f60a825c-abb7-4d99-8fe3-6dddad94ab64</w:t>
            </w:r>
          </w:p>
        </w:tc>
        <w:tc>
          <w:tcPr>
            <w:tcW w:w="360" w:type="dxa"/>
            <w:shd w:val="clear" w:color="auto" w:fill="F2F2F2"/>
          </w:tcPr>
          <w:p w:rsidR="00A77B3E">
            <w:pPr>
              <w:pStyle w:val="mqeng"/>
              <w:jc w:val="left"/>
            </w:pPr>
            <w:r>
              <w:rPr>
                <w:noProof/>
              </w:rPr>
              <w:t>Security selection was the key driver of outperformance while sector allocation also contributed positively.</w:t>
            </w:r>
          </w:p>
        </w:tc>
        <w:tc>
          <w:tcPr>
            <w:tcW w:w="360" w:type="dxa"/>
            <w:shd w:val="clear" w:color="auto" w:fill="auto"/>
          </w:tcPr>
          <w:p w:rsidR="00A77B3E">
            <w:pPr>
              <w:pStyle w:val="mqger"/>
              <w:jc w:val="left"/>
            </w:pPr>
            <w:r>
              <w:rPr>
                <w:noProof w:val="0"/>
              </w:rPr>
              <w:t>Die Titelauswahl war der entscheidende Faktor für die Outperformance, während die Sektorallokation ebenfalls positiv Beiträge leistete.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w:t>
              <w:br/>
            </w:r>
            <w:r>
              <w:rPr>
                <w:noProof/>
                <w:sz w:val="2"/>
              </w:rPr>
              <w:t>9d00a0ac-5064-4fa1-be07-c06bee75c4ea</w:t>
            </w:r>
          </w:p>
        </w:tc>
        <w:tc>
          <w:tcPr>
            <w:tcW w:w="360" w:type="dxa"/>
            <w:shd w:val="clear" w:color="auto" w:fill="F2F2F2"/>
          </w:tcPr>
          <w:p w:rsidR="00A77B3E">
            <w:pPr>
              <w:pStyle w:val="mqeng"/>
              <w:jc w:val="left"/>
            </w:pPr>
            <w:r>
              <w:rPr>
                <w:b/>
                <w:i w:val="0"/>
                <w:noProof/>
                <w:u w:val="none"/>
                <w:vertAlign w:val="baseline"/>
              </w:rPr>
              <w:t>Outlook</w:t>
            </w:r>
          </w:p>
        </w:tc>
        <w:tc>
          <w:tcPr>
            <w:tcW w:w="360" w:type="dxa"/>
            <w:shd w:val="clear" w:color="auto" w:fill="auto"/>
          </w:tcPr>
          <w:p w:rsidR="00A77B3E">
            <w:pPr>
              <w:pStyle w:val="mqger"/>
              <w:jc w:val="left"/>
            </w:pPr>
            <w:r>
              <w:rPr>
                <w:b/>
                <w:i w:val="0"/>
                <w:noProof w:val="0"/>
                <w:u w:val="none"/>
                <w:vertAlign w:val="baseline"/>
              </w:rPr>
              <w:t>Ausblick</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w:t>
              <w:br/>
            </w:r>
            <w:r>
              <w:rPr>
                <w:noProof/>
                <w:sz w:val="2"/>
              </w:rPr>
              <w:t>4b139cd7-b3de-40ce-9d86-822b3ca26467</w:t>
            </w:r>
          </w:p>
        </w:tc>
        <w:tc>
          <w:tcPr>
            <w:tcW w:w="360" w:type="dxa"/>
            <w:shd w:val="clear" w:color="auto" w:fill="F2F2F2"/>
          </w:tcPr>
          <w:p w:rsidR="00A77B3E">
            <w:pPr>
              <w:pStyle w:val="mqeng"/>
              <w:jc w:val="left"/>
            </w:pPr>
            <w:r>
              <w:rPr>
                <w:noProof/>
              </w:rPr>
              <w:t>Given the binary outlook, we remain cautious about adding risk and remain focused on selecting companies with strong fundamentals and what we see as attractive valuations.</w:t>
            </w:r>
          </w:p>
        </w:tc>
        <w:tc>
          <w:tcPr>
            <w:tcW w:w="360" w:type="dxa"/>
            <w:shd w:val="clear" w:color="auto" w:fill="auto"/>
          </w:tcPr>
          <w:p w:rsidR="00A77B3E">
            <w:pPr>
              <w:pStyle w:val="mqger"/>
              <w:jc w:val="left"/>
            </w:pPr>
            <w:r>
              <w:rPr>
                <w:noProof w:val="0"/>
              </w:rPr>
              <w:t>Angesichts des binären Ausblicks bleiben wir vorsichtig, was die Hinzufügung von Risiken betrifft, und konzentrieren uns darauf, eine Auswahl von Unternehmen mit starken Fundamentaldaten und dem, was wir als attraktive Bewertungen ansehen, auszuwählen.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w:t>
              <w:br/>
            </w:r>
            <w:r>
              <w:rPr>
                <w:noProof/>
                <w:sz w:val="2"/>
              </w:rPr>
              <w:t>42b59e7d-a635-4e19-ada3-3ac7f8bcf43b</w:t>
            </w:r>
          </w:p>
        </w:tc>
        <w:tc>
          <w:tcPr>
            <w:tcW w:w="360" w:type="dxa"/>
            <w:shd w:val="clear" w:color="auto" w:fill="F2F2F2"/>
          </w:tcPr>
          <w:p w:rsidR="00A77B3E">
            <w:pPr>
              <w:pStyle w:val="mqeng"/>
              <w:jc w:val="left"/>
            </w:pPr>
            <w:r>
              <w:rPr>
                <w:b/>
                <w:i w:val="0"/>
                <w:noProof/>
                <w:u w:val="none"/>
                <w:vertAlign w:val="baseline"/>
              </w:rPr>
              <w:t>Manager outlook</w:t>
            </w:r>
          </w:p>
        </w:tc>
        <w:tc>
          <w:tcPr>
            <w:tcW w:w="360" w:type="dxa"/>
            <w:shd w:val="clear" w:color="auto" w:fill="auto"/>
          </w:tcPr>
          <w:p w:rsidR="00A77B3E">
            <w:pPr>
              <w:pStyle w:val="mqger"/>
              <w:jc w:val="left"/>
            </w:pPr>
            <w:r>
              <w:rPr>
                <w:b/>
                <w:i w:val="0"/>
                <w:noProof w:val="0"/>
                <w:u w:val="none"/>
                <w:vertAlign w:val="baseline"/>
              </w:rPr>
              <w:t>Manager Ausblick</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w:t>
              <w:br/>
            </w:r>
            <w:r>
              <w:rPr>
                <w:noProof/>
                <w:sz w:val="2"/>
              </w:rPr>
              <w:t>2345cd2f-0728-4b19-aafa-d1f12aecb47f</w:t>
            </w:r>
          </w:p>
        </w:tc>
        <w:tc>
          <w:tcPr>
            <w:tcW w:w="360" w:type="dxa"/>
            <w:shd w:val="clear" w:color="auto" w:fill="F2F2F2"/>
          </w:tcPr>
          <w:p w:rsidR="00A77B3E">
            <w:pPr>
              <w:pStyle w:val="mqeng"/>
              <w:jc w:val="left"/>
            </w:pPr>
            <w:r>
              <w:rPr>
                <w:noProof/>
              </w:rPr>
              <w:t>We maintained the fund's small overweight position to credit spread risk relative to the index.</w:t>
            </w:r>
          </w:p>
        </w:tc>
        <w:tc>
          <w:tcPr>
            <w:tcW w:w="360" w:type="dxa"/>
            <w:shd w:val="clear" w:color="auto" w:fill="auto"/>
          </w:tcPr>
          <w:p w:rsidR="00A77B3E">
            <w:pPr>
              <w:pStyle w:val="mqger"/>
              <w:jc w:val="left"/>
            </w:pPr>
            <w:r>
              <w:rPr>
                <w:noProof w:val="0"/>
              </w:rPr>
              <w:t>Wir haben die leicht übergewichtete Position des Fonds in Bezug auf die Kreditspreadrisiken im Vergleich zum Index beibehalten.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w:t>
              <w:br/>
            </w:r>
            <w:r>
              <w:rPr>
                <w:noProof/>
                <w:sz w:val="2"/>
              </w:rPr>
              <w:t>982d66cb-6fbe-4f95-bc43-af613d458ad2</w:t>
            </w:r>
          </w:p>
        </w:tc>
        <w:tc>
          <w:tcPr>
            <w:tcW w:w="360" w:type="dxa"/>
            <w:shd w:val="clear" w:color="auto" w:fill="F2F2F2"/>
          </w:tcPr>
          <w:p w:rsidR="00A77B3E">
            <w:pPr>
              <w:pStyle w:val="mqeng"/>
              <w:jc w:val="left"/>
            </w:pPr>
            <w:r>
              <w:rPr>
                <w:noProof/>
              </w:rPr>
              <w:t>Markets reacted swiftly to the prospect of a later start to the Fed's rate-cutting cycle and although this does not change our outlook for the year, it highlights the rates volatility we can expect as investors adjust expectations.</w:t>
            </w:r>
          </w:p>
        </w:tc>
        <w:tc>
          <w:tcPr>
            <w:tcW w:w="360" w:type="dxa"/>
            <w:shd w:val="clear" w:color="auto" w:fill="auto"/>
          </w:tcPr>
          <w:p w:rsidR="00A77B3E">
            <w:pPr>
              <w:pStyle w:val="mqger"/>
              <w:jc w:val="left"/>
            </w:pPr>
            <w:r>
              <w:rPr>
                <w:noProof w:val="0"/>
              </w:rPr>
              <w:t>Die Märkte reagierten schnell auf die Aussicht auf einen späteren Beginn des Zinssenkungszyklus der Fed, und obwohl dies unseren Ausblick für das Jahr nicht ändert, hebt es die Zinsvolatilität hervor, die wir erwarten können, während Anleger ihre Erwartungen anpassen.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w:t>
              <w:br/>
            </w:r>
            <w:r>
              <w:rPr>
                <w:noProof/>
                <w:sz w:val="2"/>
              </w:rPr>
              <w:t>17c56947-690a-474d-9476-d466060da72c</w:t>
            </w:r>
          </w:p>
        </w:tc>
        <w:tc>
          <w:tcPr>
            <w:tcW w:w="360" w:type="dxa"/>
            <w:shd w:val="clear" w:color="auto" w:fill="F2F2F2"/>
          </w:tcPr>
          <w:p w:rsidR="00A77B3E">
            <w:pPr>
              <w:pStyle w:val="mqeng"/>
              <w:jc w:val="left"/>
            </w:pPr>
            <w:r>
              <w:rPr>
                <w:noProof/>
              </w:rPr>
              <w:t>We expect this volatility to spill over into high yield spreads and see two potential scenarios playing out: a near-term spread bear market caused by anything that reignites inflationary concerns, or a temporary re-acceleration of growth that leads to central banks pushing back rate cuts.</w:t>
            </w:r>
          </w:p>
        </w:tc>
        <w:tc>
          <w:tcPr>
            <w:tcW w:w="360" w:type="dxa"/>
            <w:shd w:val="clear" w:color="auto" w:fill="auto"/>
          </w:tcPr>
          <w:p w:rsidR="00A77B3E">
            <w:pPr>
              <w:pStyle w:val="mqger"/>
              <w:jc w:val="left"/>
            </w:pPr>
            <w:r>
              <w:rPr>
                <w:noProof w:val="0"/>
              </w:rPr>
              <w:t>Wir erwarten, dass diese Volatilität auf die High-Yield-Spreads übergreift und sehen zwei potenzielle Szenarien: einen kurzfristigen Spread-Bärenmarkt, verursacht durch alles, was inflationsbedingte Bedenken neu entfacht, oder eine vorübergehende Wiederbeschleunigung des Wachstums, die dazu führt, dass die Zentralbanken Zinssenkungen zurückstellen.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w:t>
              <w:br/>
            </w:r>
            <w:r>
              <w:rPr>
                <w:noProof/>
                <w:sz w:val="2"/>
              </w:rPr>
              <w:t>562330be-a515-49e3-96ec-59f6766c1c4a</w:t>
            </w:r>
          </w:p>
        </w:tc>
        <w:tc>
          <w:tcPr>
            <w:tcW w:w="360" w:type="dxa"/>
            <w:shd w:val="clear" w:color="auto" w:fill="F2F2F2"/>
          </w:tcPr>
          <w:p w:rsidR="00A77B3E">
            <w:pPr>
              <w:pStyle w:val="mqeng"/>
              <w:jc w:val="left"/>
            </w:pPr>
            <w:r>
              <w:rPr>
                <w:noProof/>
              </w:rPr>
              <w:t>A steady spread bull market could happen if it becomes clear that inflation is firmly defeated.</w:t>
            </w:r>
          </w:p>
        </w:tc>
        <w:tc>
          <w:tcPr>
            <w:tcW w:w="360" w:type="dxa"/>
            <w:shd w:val="clear" w:color="auto" w:fill="auto"/>
          </w:tcPr>
          <w:p w:rsidR="00A77B3E">
            <w:pPr>
              <w:pStyle w:val="mqger"/>
              <w:jc w:val="left"/>
            </w:pPr>
            <w:r>
              <w:rPr>
                <w:noProof w:val="0"/>
              </w:rPr>
              <w:t>Ein stabiler Spread-Bullenmarkt könnte eintreten, wenn klar wird, dass die Inflation eindeutig besiegt ist.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w:t>
              <w:br/>
            </w:r>
            <w:r>
              <w:rPr>
                <w:noProof/>
                <w:sz w:val="2"/>
              </w:rPr>
              <w:t>3aaf0dba-f0aa-40b9-894a-b7a522c16d70</w:t>
            </w:r>
          </w:p>
        </w:tc>
        <w:tc>
          <w:tcPr>
            <w:tcW w:w="360" w:type="dxa"/>
            <w:shd w:val="clear" w:color="auto" w:fill="F2F2F2"/>
          </w:tcPr>
          <w:p w:rsidR="00A77B3E">
            <w:pPr>
              <w:pStyle w:val="mqeng"/>
              <w:jc w:val="left"/>
            </w:pPr>
            <w:r>
              <w:rPr>
                <w:noProof/>
              </w:rPr>
              <w:t>Central banks embark on rate cuts to prevent real rates becoming too restrictive, which benefits spread assets.</w:t>
            </w:r>
          </w:p>
        </w:tc>
        <w:tc>
          <w:tcPr>
            <w:tcW w:w="360" w:type="dxa"/>
            <w:shd w:val="clear" w:color="auto" w:fill="auto"/>
          </w:tcPr>
          <w:p w:rsidR="00A77B3E">
            <w:pPr>
              <w:pStyle w:val="mqger"/>
              <w:jc w:val="left"/>
            </w:pPr>
            <w:r>
              <w:rPr>
                <w:noProof w:val="0"/>
              </w:rPr>
              <w:t>Die Zentralbanken beginnen mit Zinssenkungen, um zu verhindern, dass die realen Zinsen zu restriktiv werden, was den Spread-Vermögenswerten zugutekommt.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w:t>
              <w:br/>
            </w:r>
            <w:r>
              <w:rPr>
                <w:noProof/>
                <w:sz w:val="2"/>
              </w:rPr>
              <w:t>bf3331ef-aedc-4541-90df-7ae4ef6b5f51</w:t>
            </w:r>
          </w:p>
        </w:tc>
        <w:tc>
          <w:tcPr>
            <w:tcW w:w="360" w:type="dxa"/>
            <w:shd w:val="clear" w:color="auto" w:fill="F2F2F2"/>
          </w:tcPr>
          <w:p w:rsidR="00A77B3E">
            <w:pPr>
              <w:pStyle w:val="mqeng"/>
              <w:jc w:val="left"/>
            </w:pPr>
            <w:r>
              <w:rPr>
                <w:noProof/>
              </w:rPr>
              <w:t>Given the binary outlook, we remain cautious about adding risk and remain focus on selecting companies with strong fundamentals and attractive valuations.</w:t>
            </w:r>
          </w:p>
        </w:tc>
        <w:tc>
          <w:tcPr>
            <w:tcW w:w="360" w:type="dxa"/>
            <w:shd w:val="clear" w:color="auto" w:fill="auto"/>
          </w:tcPr>
          <w:p w:rsidR="00A77B3E">
            <w:pPr>
              <w:pStyle w:val="mqger"/>
              <w:jc w:val="left"/>
            </w:pPr>
            <w:r>
              <w:rPr>
                <w:noProof w:val="0"/>
              </w:rPr>
              <w:t>Angesichts des binären Ausblicks bleiben wir vorsichtig, was das Hinzufügen von Risiken betrifft, und konzentrieren uns darauf, Unternehmen mit starken Fundamentaldaten und attraktiven Bewertungen auszuwählen.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w:t>
              <w:br/>
            </w:r>
            <w:r>
              <w:rPr>
                <w:noProof/>
                <w:sz w:val="2"/>
              </w:rPr>
              <w:t>f0781643-20d8-4335-b192-dd78f5be6778</w:t>
            </w:r>
          </w:p>
        </w:tc>
        <w:tc>
          <w:tcPr>
            <w:tcW w:w="360" w:type="dxa"/>
            <w:shd w:val="clear" w:color="auto" w:fill="F2F2F2"/>
          </w:tcPr>
          <w:p w:rsidR="00A77B3E">
            <w:pPr>
              <w:pStyle w:val="mqeng"/>
              <w:jc w:val="left"/>
            </w:pPr>
            <w:r>
              <w:rPr>
                <w:noProof/>
              </w:rPr>
              <w:t>Despite the increase in supply we saw in January, demand remained strong.</w:t>
            </w:r>
          </w:p>
        </w:tc>
        <w:tc>
          <w:tcPr>
            <w:tcW w:w="360" w:type="dxa"/>
            <w:shd w:val="clear" w:color="auto" w:fill="auto"/>
          </w:tcPr>
          <w:p w:rsidR="00A77B3E">
            <w:pPr>
              <w:pStyle w:val="mqger"/>
              <w:jc w:val="left"/>
            </w:pPr>
            <w:r>
              <w:rPr>
                <w:noProof w:val="0"/>
              </w:rPr>
              <w:t>Trotz des gestiegenen Angebots, das wir im Januar gesehen haben, blieb die Nachfrage stark.</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w:t>
              <w:br/>
            </w:r>
            <w:r>
              <w:rPr>
                <w:noProof/>
                <w:sz w:val="2"/>
              </w:rPr>
              <w:t>61a88f4c-d0b0-44ee-b07a-144607c258bf</w:t>
            </w:r>
          </w:p>
        </w:tc>
        <w:tc>
          <w:tcPr>
            <w:tcW w:w="360" w:type="dxa"/>
            <w:shd w:val="clear" w:color="auto" w:fill="F2F2F2"/>
          </w:tcPr>
          <w:p w:rsidR="00A77B3E">
            <w:pPr>
              <w:pStyle w:val="mqeng"/>
              <w:jc w:val="left"/>
            </w:pPr>
            <w:r>
              <w:rPr>
                <w:noProof/>
              </w:rPr>
              <w:t>This continues to be a positive technical for the asset class.</w:t>
            </w:r>
          </w:p>
        </w:tc>
        <w:tc>
          <w:tcPr>
            <w:tcW w:w="360" w:type="dxa"/>
            <w:shd w:val="clear" w:color="auto" w:fill="auto"/>
          </w:tcPr>
          <w:p w:rsidR="00A77B3E">
            <w:pPr>
              <w:pStyle w:val="mqger"/>
              <w:jc w:val="left"/>
            </w:pPr>
            <w:r>
              <w:rPr>
                <w:noProof w:val="0"/>
              </w:rPr>
              <w:t>Dies bleibt ein positiv für die Anlageklasse.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w:t>
              <w:br/>
            </w:r>
            <w:r>
              <w:rPr>
                <w:noProof/>
                <w:sz w:val="2"/>
              </w:rPr>
              <w:t>62bdf889-c2b9-46f2-9c50-7e146b282f24</w:t>
            </w:r>
          </w:p>
        </w:tc>
        <w:tc>
          <w:tcPr>
            <w:tcW w:w="360" w:type="dxa"/>
            <w:shd w:val="clear" w:color="auto" w:fill="F2F2F2"/>
          </w:tcPr>
          <w:p w:rsidR="00A77B3E">
            <w:pPr>
              <w:pStyle w:val="mqeng"/>
              <w:jc w:val="left"/>
            </w:pPr>
            <w:r>
              <w:rPr>
                <w:noProof/>
              </w:rPr>
              <w:t>However, as we navigate interest rate cuts expectations and an approaching maturity wall, we remain cautious on the companies with increasing leverage and lower interest rate coverage ratios but positive on companies that continue to have reasonably good interest cover ratios and strong free cash flow measures.</w:t>
            </w:r>
          </w:p>
        </w:tc>
        <w:tc>
          <w:tcPr>
            <w:tcW w:w="360" w:type="dxa"/>
            <w:shd w:val="clear" w:color="auto" w:fill="auto"/>
          </w:tcPr>
          <w:p w:rsidR="00A77B3E">
            <w:pPr>
              <w:pStyle w:val="mqger"/>
              <w:jc w:val="left"/>
            </w:pPr>
            <w:r>
              <w:rPr>
                <w:noProof w:val="0"/>
              </w:rPr>
              <w:t>Wir bleiben jedoch vorsichtig bei Unternehmen mit steigender Verschuldung und niedrigeren Zinsdeckungsquoten, während wir Unternehmen, die weiterhin über angemessen gute Zinsdeckungsquoten und starke Kennzahlen für den freien Cashflow verfügen, positiv einschätzen, während wir die Erwartungen an Zinssenkungen und eine bevorstehende Fälligkeit von Anleihen navigieren.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w:t>
              <w:br/>
            </w:r>
            <w:r>
              <w:rPr>
                <w:noProof/>
                <w:sz w:val="2"/>
              </w:rPr>
              <w:t>6740d27a-02c6-42c9-8930-361945325990</w:t>
            </w:r>
          </w:p>
        </w:tc>
        <w:tc>
          <w:tcPr>
            <w:tcW w:w="360" w:type="dxa"/>
            <w:shd w:val="clear" w:color="auto" w:fill="F2F2F2"/>
          </w:tcPr>
          <w:p w:rsidR="00A77B3E">
            <w:pPr>
              <w:pStyle w:val="mqeng"/>
              <w:jc w:val="left"/>
            </w:pPr>
            <w:r>
              <w:rPr>
                <w:noProof/>
              </w:rPr>
              <w:t>The deterioration in credit ratios is mild.</w:t>
            </w:r>
          </w:p>
        </w:tc>
        <w:tc>
          <w:tcPr>
            <w:tcW w:w="360" w:type="dxa"/>
            <w:shd w:val="clear" w:color="auto" w:fill="auto"/>
          </w:tcPr>
          <w:p w:rsidR="00A77B3E">
            <w:pPr>
              <w:pStyle w:val="mqger"/>
              <w:jc w:val="left"/>
            </w:pPr>
            <w:r>
              <w:rPr>
                <w:noProof w:val="0"/>
              </w:rPr>
              <w:t>Die Verschlechterung der Kreditquoten ist leicht.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w:t>
              <w:br/>
            </w:r>
            <w:r>
              <w:rPr>
                <w:noProof/>
                <w:sz w:val="2"/>
              </w:rPr>
              <w:t>31bf1a3f-19f3-4dc0-b322-76b158c981b4</w:t>
            </w:r>
          </w:p>
        </w:tc>
        <w:tc>
          <w:tcPr>
            <w:tcW w:w="360" w:type="dxa"/>
            <w:shd w:val="clear" w:color="auto" w:fill="F2F2F2"/>
          </w:tcPr>
          <w:p w:rsidR="00A77B3E">
            <w:pPr>
              <w:pStyle w:val="mqeng"/>
              <w:jc w:val="left"/>
            </w:pPr>
            <w:r>
              <w:rPr>
                <w:noProof/>
              </w:rPr>
              <w:t>However, we believe default rates are likely to peak at relatively low levels, with a slightly higher default rate in the US given it has a lower-quality high yield bond market than Europe.</w:t>
            </w:r>
          </w:p>
        </w:tc>
        <w:tc>
          <w:tcPr>
            <w:tcW w:w="360" w:type="dxa"/>
            <w:shd w:val="clear" w:color="auto" w:fill="auto"/>
          </w:tcPr>
          <w:p w:rsidR="00A77B3E">
            <w:pPr>
              <w:pStyle w:val="mqger"/>
              <w:jc w:val="left"/>
            </w:pPr>
            <w:r>
              <w:rPr>
                <w:noProof w:val="0"/>
              </w:rPr>
              <w:t>Wir glauben jedoch, dass die Ausfallraten voraussichtlich bei relativ niedrigen Niveaus ihren Höhepunkt erreichen werden, mit einer Ausfallrate etwas höher in den USA, da sie einen niedrigeren Markt für qualitativ hochwertige Hochzinsanleihen als Europa haben.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w:t>
              <w:br/>
            </w:r>
            <w:r>
              <w:rPr>
                <w:noProof/>
                <w:sz w:val="2"/>
              </w:rPr>
              <w:t>89f4906d-7891-4453-895c-8df3596c2cf0</w:t>
            </w:r>
          </w:p>
        </w:tc>
        <w:tc>
          <w:tcPr>
            <w:tcW w:w="360" w:type="dxa"/>
            <w:shd w:val="clear" w:color="auto" w:fill="F2F2F2"/>
          </w:tcPr>
          <w:p w:rsidR="00A77B3E">
            <w:pPr>
              <w:pStyle w:val="mqeng"/>
              <w:jc w:val="left"/>
            </w:pPr>
            <w:r>
              <w:rPr>
                <w:noProof/>
              </w:rPr>
              <w:t>Distress is concentrated in the real estate, telecommunications, media and pharmaceutical sectors.</w:t>
            </w:r>
          </w:p>
        </w:tc>
        <w:tc>
          <w:tcPr>
            <w:tcW w:w="360" w:type="dxa"/>
            <w:shd w:val="clear" w:color="auto" w:fill="auto"/>
          </w:tcPr>
          <w:p w:rsidR="00A77B3E">
            <w:pPr>
              <w:pStyle w:val="mqger"/>
              <w:jc w:val="left"/>
            </w:pPr>
            <w:r>
              <w:rPr>
                <w:noProof w:val="0"/>
              </w:rPr>
              <w:t>Die Notlage konzentriert sich auf die Immobilien-, Telekommunikations-, Medien- und Pharmaindustrie.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w:t>
              <w:br/>
            </w:r>
            <w:r>
              <w:rPr>
                <w:noProof/>
                <w:sz w:val="2"/>
              </w:rPr>
              <w:t>7c8f4831-9d43-4eb3-a620-c7a369274732</w:t>
            </w:r>
          </w:p>
        </w:tc>
        <w:tc>
          <w:tcPr>
            <w:tcW w:w="360" w:type="dxa"/>
            <w:shd w:val="clear" w:color="auto" w:fill="F2F2F2"/>
          </w:tcPr>
          <w:p w:rsidR="00A77B3E">
            <w:pPr>
              <w:pStyle w:val="mqeng"/>
              <w:jc w:val="left"/>
            </w:pPr>
            <w:r>
              <w:rPr>
                <w:noProof/>
              </w:rPr>
              <w:t>Shifting work habits, debt loads and higher financing costs explain the problems in real estate, whereas the media sector has been struggling from weakness in cable operators and a general softening in advertising.</w:t>
            </w:r>
          </w:p>
        </w:tc>
        <w:tc>
          <w:tcPr>
            <w:tcW w:w="360" w:type="dxa"/>
            <w:shd w:val="clear" w:color="auto" w:fill="auto"/>
          </w:tcPr>
          <w:p w:rsidR="00A77B3E">
            <w:pPr>
              <w:pStyle w:val="mqger"/>
              <w:jc w:val="left"/>
            </w:pPr>
            <w:r>
              <w:rPr>
                <w:noProof w:val="0"/>
              </w:rPr>
              <w:t>Sich wandelnde Arbeitsbedingungen, Schuldenlasten und höhere Finanzierungskosten erklären die Probleme im Immobiliensektor, während der Mediensektor unter Schwäche bei Kabelnetzbetreibern und einem allgemeinen Rückgang der Werbekosten leidet.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w:t>
              <w:br/>
            </w:r>
            <w:r>
              <w:rPr>
                <w:noProof/>
                <w:sz w:val="2"/>
              </w:rPr>
              <w:t>c8ef5cc6-b99e-412b-b846-515eb2e3e97f</w:t>
            </w:r>
          </w:p>
        </w:tc>
        <w:tc>
          <w:tcPr>
            <w:tcW w:w="360" w:type="dxa"/>
            <w:shd w:val="clear" w:color="auto" w:fill="F2F2F2"/>
          </w:tcPr>
          <w:p w:rsidR="00A77B3E">
            <w:pPr>
              <w:pStyle w:val="mqeng"/>
              <w:jc w:val="left"/>
            </w:pPr>
            <w:r>
              <w:rPr>
                <w:noProof/>
              </w:rPr>
              <w:t>In this macroeconomic and credit environment, where trajectory is uncertain and tail risks significant, we continue to draw on the expertise of our credit research team to select what we see as attractively priced, high-quality issues while also managing upside potential and downside risks in the portfolio.</w:t>
            </w:r>
          </w:p>
        </w:tc>
        <w:tc>
          <w:tcPr>
            <w:tcW w:w="360" w:type="dxa"/>
            <w:shd w:val="clear" w:color="auto" w:fill="auto"/>
          </w:tcPr>
          <w:p w:rsidR="00A77B3E">
            <w:pPr>
              <w:pStyle w:val="mqger"/>
              <w:jc w:val="left"/>
            </w:pPr>
            <w:r>
              <w:rPr>
                <w:noProof w:val="0"/>
              </w:rPr>
              <w:t>In diesem makroökonomischen und Kreditumfeld, in dem die Entwicklung ungewiss und die Tail-Risiken erheblich sind, stützen wir uns weiterhin auf die Expertise unseres Credit-Research-Teams, um das auszuwählen, was wir als attraktiv bewertete, hochwertige Probleme ansehen, während wir gleichzeitig die potenziellen Risiken und Abwärtsrisiken im Portfolio managen.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w:t>
              <w:br/>
            </w:r>
            <w:r>
              <w:rPr>
                <w:noProof/>
                <w:sz w:val="2"/>
              </w:rPr>
              <w:t>841fd822-ab3e-48ac-a607-44ba022ab7ad</w:t>
            </w:r>
          </w:p>
        </w:tc>
        <w:tc>
          <w:tcPr>
            <w:tcW w:w="360" w:type="dxa"/>
            <w:shd w:val="clear" w:color="auto" w:fill="F2F2F2"/>
          </w:tcPr>
          <w:p w:rsidR="00A77B3E">
            <w:pPr>
              <w:pStyle w:val="mqeng"/>
              <w:jc w:val="left"/>
            </w:pPr>
            <w:r>
              <w:rPr>
                <w:noProof/>
              </w:rPr>
              <w:t>We feel a discriminating approach to security selection, combined with nimbleness in adding or removing risk from the portfolio, will be key to delivering attractive risk-adjusted returns.</w:t>
            </w:r>
          </w:p>
        </w:tc>
        <w:tc>
          <w:tcPr>
            <w:tcW w:w="360" w:type="dxa"/>
            <w:shd w:val="clear" w:color="auto" w:fill="auto"/>
          </w:tcPr>
          <w:p w:rsidR="00A77B3E">
            <w:pPr>
              <w:pStyle w:val="mqger"/>
              <w:jc w:val="left"/>
            </w:pPr>
            <w:r>
              <w:rPr>
                <w:noProof w:val="0"/>
              </w:rPr>
              <w:t>Wir sind der Ansicht, dass ein differenzierter Ansatz bei der Titelauswahl, kombiniert mit der Aufnahme oder dem Ausschluss von Risiken aus dem Portfolio, entscheidend sein wird, um attraktive risikobereinigte Renditen zu erzielen.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w:t>
              <w:br/>
            </w:r>
            <w:r>
              <w:rPr>
                <w:noProof/>
                <w:sz w:val="2"/>
              </w:rPr>
              <w:t>392d5046-9e57-4a54-9a4f-621799e4065b</w:t>
            </w:r>
          </w:p>
        </w:tc>
        <w:tc>
          <w:tcPr>
            <w:tcW w:w="360" w:type="dxa"/>
            <w:shd w:val="clear" w:color="auto" w:fill="F2F2F2"/>
          </w:tcPr>
          <w:p w:rsidR="00A77B3E">
            <w:pPr>
              <w:pStyle w:val="mqeng"/>
              <w:jc w:val="left"/>
            </w:pPr>
            <w:r>
              <w:rPr>
                <w:noProof/>
              </w:rPr>
              <w:t>Source:</w:t>
            </w:r>
          </w:p>
        </w:tc>
        <w:tc>
          <w:tcPr>
            <w:tcW w:w="360" w:type="dxa"/>
            <w:shd w:val="clear" w:color="auto" w:fill="auto"/>
          </w:tcPr>
          <w:p w:rsidR="00A77B3E">
            <w:pPr>
              <w:pStyle w:val="mqger"/>
              <w:jc w:val="left"/>
            </w:pPr>
            <w:r>
              <w:rPr>
                <w:noProof w:val="0"/>
              </w:rPr>
              <w:t>Quelle: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w:t>
              <w:br/>
            </w:r>
            <w:r>
              <w:rPr>
                <w:noProof/>
                <w:sz w:val="2"/>
              </w:rPr>
              <w:t>e5ace2de-1ebd-497d-8869-9a22d465741d</w:t>
            </w:r>
          </w:p>
        </w:tc>
        <w:tc>
          <w:tcPr>
            <w:tcW w:w="360" w:type="dxa"/>
            <w:shd w:val="clear" w:color="auto" w:fill="F2F2F2"/>
          </w:tcPr>
          <w:p w:rsidR="00A77B3E">
            <w:pPr>
              <w:pStyle w:val="mqeng"/>
              <w:jc w:val="left"/>
            </w:pPr>
            <w:r>
              <w:rPr>
                <w:noProof/>
              </w:rPr>
              <w:t>Janus Henderson Investors, as at 31 January 2024</w:t>
            </w:r>
          </w:p>
        </w:tc>
        <w:tc>
          <w:tcPr>
            <w:tcW w:w="360" w:type="dxa"/>
            <w:shd w:val="clear" w:color="auto" w:fill="auto"/>
          </w:tcPr>
          <w:p w:rsidR="00A77B3E">
            <w:pPr>
              <w:pStyle w:val="mqger"/>
              <w:jc w:val="left"/>
            </w:pPr>
            <w:r>
              <w:rPr>
                <w:noProof w:val="0"/>
              </w:rPr>
              <w:t>Janus Henderson Investors, Stand: 31. Januar 2024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bl>
    <w:p w:rsidR="00A77B3E"/>
    <w:p w:rsidR="00A77B3E"/>
    <w:sectPr>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ahoma" w:eastAsia="Tahoma" w:hAnsi="Tahoma" w:cs="Tahoma"/>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mqInternal">
    <w:name w:val="mqInternal"/>
    <w:rPr>
      <w:color w:val="800000"/>
    </w:rPr>
  </w:style>
  <w:style w:type="paragraph" w:customStyle="1" w:styleId="mqger">
    <w:name w:val="mq:ger"/>
    <w:basedOn w:val="Normal"/>
    <w:rPr>
      <w:lang w:val="de-DE" w:eastAsia="de-DE" w:bidi="de-DE"/>
    </w:rPr>
  </w:style>
  <w:style w:type="paragraph" w:customStyle="1" w:styleId="mqeng">
    <w:name w:val="mq:eng"/>
    <w:basedOn w:val="Normal"/>
    <w:rPr>
      <w:lang w:val="gd-GB" w:eastAsia="gd-GB" w:bidi="gd-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DCF03D63313F4B9E5FAF0CA42A5F40" ma:contentTypeVersion="19" ma:contentTypeDescription="Create a new document." ma:contentTypeScope="" ma:versionID="ad84825f676abcf08bcdb942be82467c">
  <xsd:schema xmlns:xsd="http://www.w3.org/2001/XMLSchema" xmlns:xs="http://www.w3.org/2001/XMLSchema" xmlns:p="http://schemas.microsoft.com/office/2006/metadata/properties" xmlns:ns2="3d880aeb-51c9-45a9-a1f8-31e2d921e8bc" xmlns:ns3="03275443-a1be-471a-a2c8-5dfd7eb405c0" targetNamespace="http://schemas.microsoft.com/office/2006/metadata/properties" ma:root="true" ma:fieldsID="cf9ff27b2947d2f0ce0749925c07ccd6" ns2:_="" ns3:_="">
    <xsd:import namespace="3d880aeb-51c9-45a9-a1f8-31e2d921e8bc"/>
    <xsd:import namespace="03275443-a1be-471a-a2c8-5dfd7eb405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80aeb-51c9-45a9-a1f8-31e2d921e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0a23d72-b190-4a68-b8b8-c59ef18e83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75443-a1be-471a-a2c8-5dfd7eb405c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182ffc3-fb15-4dfe-aca4-e705a0ba018c}" ma:internalName="TaxCatchAll" ma:showField="CatchAllData" ma:web="03275443-a1be-471a-a2c8-5dfd7eb40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880aeb-51c9-45a9-a1f8-31e2d921e8bc">
      <Terms xmlns="http://schemas.microsoft.com/office/infopath/2007/PartnerControls"/>
    </lcf76f155ced4ddcb4097134ff3c332f>
    <TaxCatchAll xmlns="03275443-a1be-471a-a2c8-5dfd7eb405c0" xsi:nil="true"/>
  </documentManagement>
</p:properties>
</file>

<file path=customXml/itemProps1.xml><?xml version="1.0" encoding="utf-8"?>
<ds:datastoreItem xmlns:ds="http://schemas.openxmlformats.org/officeDocument/2006/customXml" ds:itemID="{A98FA77A-7041-4304-BDC0-6B4D35182BCB}"/>
</file>

<file path=customXml/itemProps2.xml><?xml version="1.0" encoding="utf-8"?>
<ds:datastoreItem xmlns:ds="http://schemas.openxmlformats.org/officeDocument/2006/customXml" ds:itemID="{FE01665E-59B8-4411-8CB0-7C7388DE5A6C}"/>
</file>

<file path=customXml/itemProps3.xml><?xml version="1.0" encoding="utf-8"?>
<ds:datastoreItem xmlns:ds="http://schemas.openxmlformats.org/officeDocument/2006/customXml" ds:itemID="{3F2BBF13-80F8-4576-BD2C-EE7ED74AB65D}"/>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CommentColumn">
    <vt:bool>true</vt:bool>
  </property>
  <property fmtid="{D5CDD505-2E9C-101B-9397-08002B2CF9AE}" pid="3" name="HasStatusColumn">
    <vt:bool>true</vt:bool>
  </property>
  <property fmtid="{D5CDD505-2E9C-101B-9397-08002B2CF9AE}" pid="4" name="HasTwoTargetColumn">
    <vt:bool>false</vt:bool>
  </property>
  <property fmtid="{D5CDD505-2E9C-101B-9397-08002B2CF9AE}" pid="5" name="memoQVersion">
    <vt:lpwstr>11.6.10</vt:lpwstr>
  </property>
  <property fmtid="{D5CDD505-2E9C-101B-9397-08002B2CF9AE}" pid="6" name="ContentTypeId">
    <vt:lpwstr>0x010100B9DCF03D63313F4B9E5FAF0CA42A5F40</vt:lpwstr>
  </property>
</Properties>
</file>