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3.10.0 -->
  <w:body>
    <w:tbl>
      <w:tblPr>
        <w:tblCaption w:val="TableDocxTableTitle"/>
        <w:tblDescription w:val="352fddb4-54f6-43ad-9c81-5936699f5c95"/>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70"/>
        <w:gridCol w:w="6032"/>
        <w:gridCol w:w="6032"/>
        <w:gridCol w:w="1217"/>
        <w:gridCol w:w="1663"/>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c>
          <w:tcPr>
            <w:tcW w:w="1800" w:type="dxa"/>
            <w:gridSpan w:val="5"/>
            <w:shd w:val="clear" w:color="auto" w:fill="F2F2F2"/>
          </w:tcPr>
          <w:p w:rsidR="00A77B3E">
            <w:pPr>
              <w:jc w:val="center"/>
              <w:rPr>
                <w:b/>
                <w:i w:val="0"/>
                <w:noProof/>
                <w:u w:val="none"/>
                <w:vertAlign w:val="baseline"/>
              </w:rPr>
            </w:pPr>
            <w:r>
              <w:rPr>
                <w:b/>
                <w:i w:val="0"/>
                <w:noProof/>
                <w:u w:val="none"/>
                <w:vertAlign w:val="baseline"/>
              </w:rPr>
              <w:t>4802_HHFGHY_EN_M_31012024.docx</w:t>
            </w:r>
          </w:p>
          <w:p w:rsidR="00A77B3E">
            <w:pPr>
              <w:jc w:val="center"/>
              <w:rPr>
                <w:b/>
                <w:i w:val="0"/>
                <w:noProof/>
                <w:u w:val="none"/>
                <w:vertAlign w:val="baseline"/>
              </w:rPr>
            </w:pPr>
            <w:r>
              <w:rPr>
                <w:b/>
                <w:i w:val="0"/>
                <w:noProof/>
                <w:u w:val="none"/>
                <w:vertAlign w:val="baseline"/>
              </w:rPr>
              <w:t>Important! Don’t change segment ID or source text.</w:t>
            </w:r>
          </w:p>
          <w:p w:rsidR="00A77B3E">
            <w:pPr>
              <w:jc w:val="center"/>
              <w:rPr>
                <w:b/>
                <w:i w:val="0"/>
                <w:noProof/>
                <w:u w:val="none"/>
                <w:vertAlign w:val="baseline"/>
              </w:rPr>
            </w:pPr>
            <w:r>
              <w:rPr>
                <w:b/>
                <w:i w:val="0"/>
                <w:noProof/>
                <w:u w:val="none"/>
                <w:vertAlign w:val="baseline"/>
              </w:rPr>
              <w:t>V11.6.10 352fddb4-54f6-43ad-9c81-5936699f5c95</w:t>
            </w:r>
          </w:p>
        </w:tc>
      </w:tr>
      <w:tr>
        <w:tblPrEx>
          <w:tblW w:w="5000" w:type="pct"/>
          <w:tblCellMar>
            <w:left w:w="108" w:type="dxa"/>
            <w:right w:w="108" w:type="dxa"/>
          </w:tblCellMar>
        </w:tblPrEx>
        <w:tc>
          <w:tcPr>
            <w:tcW w:w="660" w:type="dxa"/>
            <w:shd w:val="clear" w:color="auto" w:fill="F2F2F2"/>
          </w:tcPr>
          <w:p w:rsidR="00A77B3E">
            <w:pPr>
              <w:jc w:val="left"/>
              <w:rPr>
                <w:b/>
                <w:i w:val="0"/>
                <w:noProof/>
                <w:u w:val="none"/>
                <w:vertAlign w:val="baseline"/>
              </w:rPr>
            </w:pPr>
            <w:r>
              <w:rPr>
                <w:b/>
                <w:i w:val="0"/>
                <w:noProof/>
                <w:u w:val="none"/>
                <w:vertAlign w:val="baseline"/>
              </w:rPr>
              <w:t>ID</w:t>
            </w:r>
          </w:p>
        </w:tc>
        <w:tc>
          <w:tcPr>
            <w:tcW w:w="5949" w:type="dxa"/>
            <w:shd w:val="clear" w:color="auto" w:fill="F2F2F2"/>
          </w:tcPr>
          <w:p w:rsidR="00A77B3E">
            <w:pPr>
              <w:jc w:val="left"/>
              <w:rPr>
                <w:b/>
                <w:i w:val="0"/>
                <w:noProof/>
                <w:u w:val="none"/>
                <w:vertAlign w:val="baseline"/>
              </w:rPr>
            </w:pPr>
            <w:r>
              <w:rPr>
                <w:b/>
                <w:i w:val="0"/>
                <w:noProof/>
                <w:u w:val="none"/>
                <w:vertAlign w:val="baseline"/>
              </w:rPr>
              <w:t>English</w:t>
            </w:r>
          </w:p>
        </w:tc>
        <w:tc>
          <w:tcPr>
            <w:tcW w:w="5949" w:type="dxa"/>
            <w:shd w:val="clear" w:color="auto" w:fill="F2F2F2"/>
          </w:tcPr>
          <w:p w:rsidR="00A77B3E">
            <w:pPr>
              <w:jc w:val="left"/>
              <w:rPr>
                <w:b/>
                <w:i w:val="0"/>
                <w:noProof/>
                <w:u w:val="none"/>
                <w:vertAlign w:val="baseline"/>
              </w:rPr>
            </w:pPr>
            <w:r>
              <w:rPr>
                <w:b/>
                <w:i w:val="0"/>
                <w:noProof/>
                <w:u w:val="none"/>
                <w:vertAlign w:val="baseline"/>
              </w:rPr>
              <w:t>German</w:t>
            </w:r>
          </w:p>
        </w:tc>
        <w:tc>
          <w:tcPr>
            <w:tcW w:w="1200" w:type="dxa"/>
            <w:shd w:val="clear" w:color="auto" w:fill="F2F2F2"/>
          </w:tcPr>
          <w:p w:rsidR="00A77B3E">
            <w:pPr>
              <w:jc w:val="left"/>
              <w:rPr>
                <w:b/>
                <w:i w:val="0"/>
                <w:noProof/>
                <w:u w:val="none"/>
                <w:vertAlign w:val="baseline"/>
              </w:rPr>
            </w:pPr>
            <w:r>
              <w:rPr>
                <w:b/>
                <w:i w:val="0"/>
                <w:noProof/>
                <w:u w:val="none"/>
                <w:vertAlign w:val="baseline"/>
              </w:rPr>
              <w:t>Comment</w:t>
            </w:r>
          </w:p>
        </w:tc>
        <w:tc>
          <w:tcPr>
            <w:tcW w:w="1640" w:type="dxa"/>
            <w:shd w:val="clear" w:color="auto" w:fill="F2F2F2"/>
          </w:tcPr>
          <w:p w:rsidR="00A77B3E">
            <w:pPr>
              <w:jc w:val="left"/>
            </w:pPr>
            <w:r>
              <w:rPr>
                <w:b/>
                <w:i w:val="0"/>
                <w:noProof/>
                <w:u w:val="none"/>
                <w:vertAlign w:val="baseline"/>
              </w:rPr>
              <w:t>Status</w:t>
            </w:r>
          </w:p>
        </w:tc>
      </w:tr>
      <w:tr>
        <w:tblPrEx>
          <w:tblW w:w="5000" w:type="pct"/>
          <w:tblCellMar>
            <w:left w:w="108" w:type="dxa"/>
            <w:right w:w="108" w:type="dxa"/>
          </w:tblCellMar>
        </w:tblPrEx>
        <w:tc>
          <w:tcPr>
            <w:tcW w:w="360" w:type="dxa"/>
            <w:shd w:val="clear" w:color="auto" w:fill="F2F2F2"/>
          </w:tcPr>
          <w:p w:rsidR="00A77B3E">
            <w:pPr>
              <w:jc w:val="left"/>
            </w:pPr>
            <w:r>
              <w:rPr>
                <w:noProof/>
                <w:sz w:val="16"/>
              </w:rPr>
              <w:t>1</w:t>
              <w:br/>
            </w:r>
            <w:r>
              <w:rPr>
                <w:noProof/>
                <w:sz w:val="2"/>
              </w:rPr>
              <w:t>d12f0f8e-e5fd-44fa-bedd-bd5e81dba2f4</w:t>
            </w:r>
          </w:p>
        </w:tc>
        <w:tc>
          <w:tcPr>
            <w:tcW w:w="360" w:type="dxa"/>
            <w:shd w:val="clear" w:color="auto" w:fill="F2F2F2"/>
          </w:tcPr>
          <w:p w:rsidR="00A77B3E">
            <w:pPr>
              <w:pStyle w:val="mqeng"/>
              <w:jc w:val="left"/>
            </w:pPr>
            <w:r>
              <w:rPr>
                <w:b/>
                <w:i w:val="0"/>
                <w:noProof/>
                <w:u w:val="none"/>
                <w:vertAlign w:val="baseline"/>
              </w:rPr>
              <w:t>Investment environment</w:t>
            </w:r>
          </w:p>
        </w:tc>
        <w:tc>
          <w:tcPr>
            <w:tcW w:w="360" w:type="dxa"/>
            <w:shd w:val="clear" w:color="auto" w:fill="auto"/>
          </w:tcPr>
          <w:p w:rsidR="00A77B3E">
            <w:pPr>
              <w:pStyle w:val="mqger"/>
              <w:jc w:val="left"/>
            </w:pPr>
            <w:r>
              <w:rPr>
                <w:b/>
                <w:i w:val="0"/>
                <w:noProof w:val="0"/>
                <w:u w:val="none"/>
                <w:vertAlign w:val="baseline"/>
              </w:rPr>
              <w:t>Investment environment</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r>
          </w:p>
        </w:tc>
      </w:tr>
      <w:tr>
        <w:tblPrEx>
          <w:tblW w:w="5000" w:type="pct"/>
          <w:tblCellMar>
            <w:left w:w="108" w:type="dxa"/>
            <w:right w:w="108" w:type="dxa"/>
          </w:tblCellMar>
        </w:tblPrEx>
        <w:tc>
          <w:tcPr>
            <w:tcW w:w="360" w:type="dxa"/>
            <w:shd w:val="clear" w:color="auto" w:fill="F2F2F2"/>
          </w:tcPr>
          <w:p w:rsidR="00A77B3E">
            <w:pPr>
              <w:jc w:val="left"/>
            </w:pPr>
            <w:r>
              <w:rPr>
                <w:noProof/>
                <w:sz w:val="16"/>
              </w:rPr>
              <w:t>2</w:t>
              <w:br/>
            </w:r>
            <w:r>
              <w:rPr>
                <w:noProof/>
                <w:sz w:val="2"/>
              </w:rPr>
              <w:t>9d8865b2-eb05-40b2-b962-c6e398eb587e</w:t>
            </w:r>
          </w:p>
        </w:tc>
        <w:tc>
          <w:tcPr>
            <w:tcW w:w="360" w:type="dxa"/>
            <w:shd w:val="clear" w:color="auto" w:fill="F2F2F2"/>
          </w:tcPr>
          <w:p w:rsidR="00A77B3E">
            <w:pPr>
              <w:pStyle w:val="mqeng"/>
              <w:jc w:val="left"/>
            </w:pPr>
            <w:r>
              <w:rPr>
                <w:noProof/>
              </w:rPr>
              <w:t>&amp;#7;Fixed income markets cooled slightly in January following the strong rally at the end of last year, and the global high yield bond market made a small positive return.</w:t>
            </w:r>
          </w:p>
        </w:tc>
        <w:tc>
          <w:tcPr>
            <w:tcW w:w="360" w:type="dxa"/>
            <w:shd w:val="clear" w:color="auto" w:fill="auto"/>
          </w:tcPr>
          <w:p w:rsidR="00A77B3E">
            <w:pPr>
              <w:pStyle w:val="mqger"/>
              <w:jc w:val="left"/>
            </w:pPr>
            <w:r>
              <w:rPr>
                <w:noProof w:val="0"/>
              </w:rPr>
              <w:t>Die Märkte für festverzinsliche Wertpapiere kühlten sich im Januar nach der starken Jahresend-Rally leicht ab, und der globale Markt für Hochzinsanleihen verzeichnete eine leicht positive Rendite.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w:t>
              <w:br/>
            </w:r>
            <w:r>
              <w:rPr>
                <w:noProof/>
                <w:sz w:val="2"/>
              </w:rPr>
              <w:t>94db0b6b-c91b-430c-9f3a-63e3d6f04b47</w:t>
            </w:r>
          </w:p>
        </w:tc>
        <w:tc>
          <w:tcPr>
            <w:tcW w:w="360" w:type="dxa"/>
            <w:shd w:val="clear" w:color="auto" w:fill="F2F2F2"/>
          </w:tcPr>
          <w:p w:rsidR="00A77B3E">
            <w:pPr>
              <w:pStyle w:val="mqeng"/>
              <w:jc w:val="left"/>
            </w:pPr>
            <w:r>
              <w:rPr>
                <w:noProof/>
              </w:rPr>
              <w:t>Excess returns were positive.</w:t>
            </w:r>
          </w:p>
        </w:tc>
        <w:tc>
          <w:tcPr>
            <w:tcW w:w="360" w:type="dxa"/>
            <w:shd w:val="clear" w:color="auto" w:fill="auto"/>
          </w:tcPr>
          <w:p w:rsidR="00A77B3E">
            <w:pPr>
              <w:pStyle w:val="mqger"/>
              <w:jc w:val="left"/>
            </w:pPr>
            <w:r>
              <w:rPr>
                <w:noProof w:val="0"/>
              </w:rPr>
              <w:t>Positiv fielen die Überrenditen aus.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r>
          </w:p>
        </w:tc>
      </w:tr>
      <w:tr>
        <w:tblPrEx>
          <w:tblW w:w="5000" w:type="pct"/>
          <w:tblCellMar>
            <w:left w:w="108" w:type="dxa"/>
            <w:right w:w="108" w:type="dxa"/>
          </w:tblCellMar>
        </w:tblPrEx>
        <w:tc>
          <w:tcPr>
            <w:tcW w:w="360" w:type="dxa"/>
            <w:shd w:val="clear" w:color="auto" w:fill="F2F2F2"/>
          </w:tcPr>
          <w:p w:rsidR="00A77B3E">
            <w:pPr>
              <w:jc w:val="left"/>
            </w:pPr>
            <w:r>
              <w:rPr>
                <w:noProof/>
                <w:sz w:val="16"/>
              </w:rPr>
              <w:t>4</w:t>
              <w:br/>
            </w:r>
            <w:r>
              <w:rPr>
                <w:noProof/>
                <w:sz w:val="2"/>
              </w:rPr>
              <w:t>8ff199d1-d4b3-48bf-b98e-4ca519fbc1a6</w:t>
            </w:r>
          </w:p>
        </w:tc>
        <w:tc>
          <w:tcPr>
            <w:tcW w:w="360" w:type="dxa"/>
            <w:shd w:val="clear" w:color="auto" w:fill="F2F2F2"/>
          </w:tcPr>
          <w:p w:rsidR="00A77B3E">
            <w:pPr>
              <w:pStyle w:val="mqeng"/>
              <w:jc w:val="left"/>
            </w:pPr>
            <w:r>
              <w:rPr>
                <w:noProof/>
              </w:rPr>
              <w:t>&amp;#7;US high yield bond spreads widened over the month in response to the market's solid performance in the fourth quarter and as stronger-than-expected macroeconomic data dashed investor hopes for earlier interest rate cuts.</w:t>
            </w:r>
          </w:p>
        </w:tc>
        <w:tc>
          <w:tcPr>
            <w:tcW w:w="360" w:type="dxa"/>
            <w:shd w:val="clear" w:color="auto" w:fill="auto"/>
          </w:tcPr>
          <w:p w:rsidR="00A77B3E">
            <w:pPr>
              <w:pStyle w:val="mqger"/>
              <w:jc w:val="left"/>
            </w:pPr>
            <w:r>
              <w:rPr>
                <w:noProof w:val="0"/>
              </w:rPr>
              <w:t>Die Spreads von US-Hochzinsanleihen weiteten sich im Januar als Reaktion auf die solide Performance im 4. Quartal und die unerwartet guten Konjunkturdaten. Diese machten die Hoffnung vieler Anleger zunichte, dass die Zinsen schon früher gesenkt werden könnten.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(91%)</w:t>
            </w:r>
          </w:p>
        </w:tc>
      </w:tr>
      <w:tr>
        <w:tblPrEx>
          <w:tblW w:w="5000" w:type="pct"/>
          <w:tblCellMar>
            <w:left w:w="108" w:type="dxa"/>
            <w:right w:w="108" w:type="dxa"/>
          </w:tblCellMar>
        </w:tblPrEx>
        <w:tc>
          <w:tcPr>
            <w:tcW w:w="360" w:type="dxa"/>
            <w:shd w:val="clear" w:color="auto" w:fill="F2F2F2"/>
          </w:tcPr>
          <w:p w:rsidR="00A77B3E">
            <w:pPr>
              <w:jc w:val="left"/>
            </w:pPr>
            <w:r>
              <w:rPr>
                <w:noProof/>
                <w:sz w:val="16"/>
              </w:rPr>
              <w:t>5</w:t>
              <w:br/>
            </w:r>
            <w:r>
              <w:rPr>
                <w:noProof/>
                <w:sz w:val="2"/>
              </w:rPr>
              <w:t>b43c420a-55e0-45e1-b672-1831681e29b2</w:t>
            </w:r>
          </w:p>
        </w:tc>
        <w:tc>
          <w:tcPr>
            <w:tcW w:w="360" w:type="dxa"/>
            <w:shd w:val="clear" w:color="auto" w:fill="F2F2F2"/>
          </w:tcPr>
          <w:p w:rsidR="00A77B3E">
            <w:pPr>
              <w:pStyle w:val="mqeng"/>
              <w:jc w:val="left"/>
            </w:pPr>
            <w:r>
              <w:rPr>
                <w:noProof/>
              </w:rPr>
              <w:t>Fourth-quarter GDP in the US grew by a much stronger-than-expected 3.3% (annualised), albeit down from 4.9% in the third quarter, and the jobs market remained buoyant.</w:t>
            </w:r>
          </w:p>
        </w:tc>
        <w:tc>
          <w:tcPr>
            <w:tcW w:w="360" w:type="dxa"/>
            <w:shd w:val="clear" w:color="auto" w:fill="auto"/>
          </w:tcPr>
          <w:p w:rsidR="00A77B3E">
            <w:pPr>
              <w:pStyle w:val="mqger"/>
              <w:jc w:val="left"/>
            </w:pPr>
            <w:r>
              <w:rPr>
                <w:noProof w:val="0"/>
              </w:rPr>
              <w:t>Im 4. Quartal wuchs das BIP in den USA mit einer Jahresrate von 3,3 % deutlich stärker als erwartet, wenn auch weniger als die 4,9 % im 3. Quartal. Derweil setzte sich die sehr gute Lage am Arbeitsmarkt fort.</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(89%)</w:t>
            </w:r>
          </w:p>
        </w:tc>
      </w:tr>
      <w:tr>
        <w:tblPrEx>
          <w:tblW w:w="5000" w:type="pct"/>
          <w:tblCellMar>
            <w:left w:w="108" w:type="dxa"/>
            <w:right w:w="108" w:type="dxa"/>
          </w:tblCellMar>
        </w:tblPrEx>
        <w:tc>
          <w:tcPr>
            <w:tcW w:w="360" w:type="dxa"/>
            <w:shd w:val="clear" w:color="auto" w:fill="F2F2F2"/>
          </w:tcPr>
          <w:p w:rsidR="00A77B3E">
            <w:pPr>
              <w:jc w:val="left"/>
            </w:pPr>
            <w:r>
              <w:rPr>
                <w:noProof/>
                <w:sz w:val="16"/>
              </w:rPr>
              <w:t>6</w:t>
              <w:br/>
            </w:r>
            <w:r>
              <w:rPr>
                <w:noProof/>
                <w:sz w:val="2"/>
              </w:rPr>
              <w:t>844e26a6-9415-45a3-9258-37f6d59430a1</w:t>
            </w:r>
          </w:p>
        </w:tc>
        <w:tc>
          <w:tcPr>
            <w:tcW w:w="360" w:type="dxa"/>
            <w:shd w:val="clear" w:color="auto" w:fill="F2F2F2"/>
          </w:tcPr>
          <w:p w:rsidR="00A77B3E">
            <w:pPr>
              <w:pStyle w:val="mqeng"/>
              <w:jc w:val="left"/>
            </w:pPr>
            <w:r>
              <w:rPr>
                <w:noProof/>
              </w:rPr>
              <w:t>The economy's strength continued to fuel the 'soft-landing' narrative of last year, but it also raised doubts during the month about when the US Federal Reserve (Fed) would start to loosen monetary policy.</w:t>
            </w:r>
          </w:p>
        </w:tc>
        <w:tc>
          <w:tcPr>
            <w:tcW w:w="360" w:type="dxa"/>
            <w:shd w:val="clear" w:color="auto" w:fill="auto"/>
          </w:tcPr>
          <w:p w:rsidR="00A77B3E">
            <w:pPr>
              <w:pStyle w:val="mqger"/>
              <w:jc w:val="left"/>
            </w:pPr>
            <w:r>
              <w:rPr>
                <w:noProof w:val="0"/>
              </w:rPr>
              <w:t>Die starke Wirtschaft nährte weiter die Erwartung einer „weichen Landung“ vom letzten Jahr. Sie ließ im Monatsverlauf aber auch Zweifel an einem baldigen Beginn von Zinssenkungen durch die US-Notenbank (Fed) aufkommen.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r>
          </w:p>
        </w:tc>
      </w:tr>
      <w:tr>
        <w:tblPrEx>
          <w:tblW w:w="5000" w:type="pct"/>
          <w:tblCellMar>
            <w:left w:w="108" w:type="dxa"/>
            <w:right w:w="108" w:type="dxa"/>
          </w:tblCellMar>
        </w:tblPrEx>
        <w:tc>
          <w:tcPr>
            <w:tcW w:w="360" w:type="dxa"/>
            <w:shd w:val="clear" w:color="auto" w:fill="F2F2F2"/>
          </w:tcPr>
          <w:p w:rsidR="00A77B3E">
            <w:pPr>
              <w:jc w:val="left"/>
            </w:pPr>
            <w:r>
              <w:rPr>
                <w:noProof/>
                <w:sz w:val="16"/>
              </w:rPr>
              <w:t>7</w:t>
              <w:br/>
            </w:r>
            <w:r>
              <w:rPr>
                <w:noProof/>
                <w:sz w:val="2"/>
              </w:rPr>
              <w:t>fcb0b105-f29c-4e81-8007-41c00dfa1427</w:t>
            </w:r>
          </w:p>
        </w:tc>
        <w:tc>
          <w:tcPr>
            <w:tcW w:w="360" w:type="dxa"/>
            <w:shd w:val="clear" w:color="auto" w:fill="F2F2F2"/>
          </w:tcPr>
          <w:p w:rsidR="00A77B3E">
            <w:pPr>
              <w:pStyle w:val="mqeng"/>
              <w:jc w:val="left"/>
            </w:pPr>
            <w:r>
              <w:rPr>
                <w:noProof/>
              </w:rPr>
              <w:t>Indeed, the Fed held rates steady at its meeting at month end, and Chair Jerome Powell pushed back on imminent interest rate cuts as inflation remains too high.</w:t>
            </w:r>
          </w:p>
        </w:tc>
        <w:tc>
          <w:tcPr>
            <w:tcW w:w="360" w:type="dxa"/>
            <w:shd w:val="clear" w:color="auto" w:fill="auto"/>
          </w:tcPr>
          <w:p w:rsidR="00A77B3E">
            <w:pPr>
              <w:pStyle w:val="mqger"/>
              <w:jc w:val="left"/>
            </w:pPr>
            <w:r>
              <w:rPr>
                <w:noProof w:val="0"/>
              </w:rPr>
              <w:t>Tatsächlich behielt die Fed auf ihrer Sitzung am Monatsende die Zinsen unverändert bei, und der Fed-Chef Jerome Powell erteilte schnellen Zinssenkungen mit Verweis auf die weiterhin zu hohe Inflation eine Absage.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(86%)</w:t>
            </w:r>
          </w:p>
        </w:tc>
      </w:tr>
      <w:tr>
        <w:tblPrEx>
          <w:tblW w:w="5000" w:type="pct"/>
          <w:tblCellMar>
            <w:left w:w="108" w:type="dxa"/>
            <w:right w:w="108" w:type="dxa"/>
          </w:tblCellMar>
        </w:tblPrEx>
        <w:tc>
          <w:tcPr>
            <w:tcW w:w="360" w:type="dxa"/>
            <w:shd w:val="clear" w:color="auto" w:fill="F2F2F2"/>
          </w:tcPr>
          <w:p w:rsidR="00A77B3E">
            <w:pPr>
              <w:jc w:val="left"/>
            </w:pPr>
            <w:r>
              <w:rPr>
                <w:noProof/>
                <w:sz w:val="16"/>
              </w:rPr>
              <w:t>8</w:t>
              <w:br/>
            </w:r>
            <w:r>
              <w:rPr>
                <w:noProof/>
                <w:sz w:val="2"/>
              </w:rPr>
              <w:t>4fa601d6-7cbf-4313-b2ff-1d8c57b781f9</w:t>
            </w:r>
          </w:p>
        </w:tc>
        <w:tc>
          <w:tcPr>
            <w:tcW w:w="360" w:type="dxa"/>
            <w:shd w:val="clear" w:color="auto" w:fill="F2F2F2"/>
          </w:tcPr>
          <w:p w:rsidR="00A77B3E">
            <w:pPr>
              <w:pStyle w:val="mqeng"/>
              <w:jc w:val="left"/>
            </w:pPr>
            <w:r>
              <w:rPr>
                <w:noProof/>
              </w:rPr>
              <w:t>&amp;#7;In Europe, high yield bond spreads tightened as demand for the asset class increased.</w:t>
            </w:r>
          </w:p>
        </w:tc>
        <w:tc>
          <w:tcPr>
            <w:tcW w:w="360" w:type="dxa"/>
            <w:shd w:val="clear" w:color="auto" w:fill="auto"/>
          </w:tcPr>
          <w:p w:rsidR="00A77B3E">
            <w:pPr>
              <w:pStyle w:val="mqger"/>
              <w:jc w:val="left"/>
            </w:pPr>
            <w:r>
              <w:rPr>
                <w:noProof w:val="0"/>
              </w:rPr>
              <w:t>In Europa verengten sich die Spreads von Hochzinsanleihen mit der steigenden Nachfrage nach dieser Anlageklasse.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(88%)</w:t>
            </w:r>
          </w:p>
        </w:tc>
      </w:tr>
      <w:tr>
        <w:tblPrEx>
          <w:tblW w:w="5000" w:type="pct"/>
          <w:tblCellMar>
            <w:left w:w="108" w:type="dxa"/>
            <w:right w:w="108" w:type="dxa"/>
          </w:tblCellMar>
        </w:tblPrEx>
        <w:tc>
          <w:tcPr>
            <w:tcW w:w="360" w:type="dxa"/>
            <w:shd w:val="clear" w:color="auto" w:fill="F2F2F2"/>
          </w:tcPr>
          <w:p w:rsidR="00A77B3E">
            <w:pPr>
              <w:jc w:val="left"/>
            </w:pPr>
            <w:r>
              <w:rPr>
                <w:noProof/>
                <w:sz w:val="16"/>
              </w:rPr>
              <w:t>9</w:t>
              <w:br/>
            </w:r>
            <w:r>
              <w:rPr>
                <w:noProof/>
                <w:sz w:val="2"/>
              </w:rPr>
              <w:t>7ff901b6-cb17-42c8-ba27-b19641f2331e</w:t>
            </w:r>
          </w:p>
        </w:tc>
        <w:tc>
          <w:tcPr>
            <w:tcW w:w="360" w:type="dxa"/>
            <w:shd w:val="clear" w:color="auto" w:fill="F2F2F2"/>
          </w:tcPr>
          <w:p w:rsidR="00A77B3E">
            <w:pPr>
              <w:pStyle w:val="mqeng"/>
              <w:jc w:val="left"/>
            </w:pPr>
            <w:r>
              <w:rPr>
                <w:noProof/>
              </w:rPr>
              <w:t>The European Central Bank (ECB) also held rates steady, but highlighted easing pricing pressures, which increased expectations that policymakers could loosen monetary policy as early as April.</w:t>
            </w:r>
          </w:p>
        </w:tc>
        <w:tc>
          <w:tcPr>
            <w:tcW w:w="360" w:type="dxa"/>
            <w:shd w:val="clear" w:color="auto" w:fill="auto"/>
          </w:tcPr>
          <w:p w:rsidR="00A77B3E">
            <w:pPr>
              <w:pStyle w:val="mqger"/>
              <w:jc w:val="left"/>
            </w:pPr>
            <w:r>
              <w:rPr>
                <w:noProof w:val="0"/>
              </w:rPr>
              <w:t>Auch die Europäische Zentralbank (EZB) drehte nicht an der Zinsschraube, verwies jedoch auf den nachlassenden Preisdruck und nährte damit die Erwartung, dass sie die Geldpolitik bereits im April lockern könnte.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10</w:t>
              <w:br/>
            </w:r>
            <w:r>
              <w:rPr>
                <w:noProof/>
                <w:sz w:val="2"/>
              </w:rPr>
              <w:t>bdd908b6-4609-408c-a1d9-87760bfabe8e</w:t>
            </w:r>
          </w:p>
        </w:tc>
        <w:tc>
          <w:tcPr>
            <w:tcW w:w="360" w:type="dxa"/>
            <w:shd w:val="clear" w:color="auto" w:fill="F2F2F2"/>
          </w:tcPr>
          <w:p w:rsidR="00A77B3E">
            <w:pPr>
              <w:pStyle w:val="mqeng"/>
              <w:jc w:val="left"/>
            </w:pPr>
            <w:r>
              <w:rPr>
                <w:noProof/>
              </w:rPr>
              <w:t>Meanwhile, concerns around supply chains flared up once again, with the US and UK conducted airstrikes on Houthi militants in Yemen following attacks on shipping in the Red Sea.</w:t>
            </w:r>
          </w:p>
        </w:tc>
        <w:tc>
          <w:tcPr>
            <w:tcW w:w="360" w:type="dxa"/>
            <w:shd w:val="clear" w:color="auto" w:fill="auto"/>
          </w:tcPr>
          <w:p w:rsidR="00A77B3E">
            <w:pPr>
              <w:pStyle w:val="mqger"/>
              <w:jc w:val="left"/>
            </w:pPr>
            <w:r>
              <w:rPr>
                <w:noProof w:val="0"/>
              </w:rPr>
              <w:t>Unterdessen flammten erneut Sorgen mit Blick auf die Sicherheit der Lieferketten auf, da die USA und Großbritannien nach Angriffen auf Schiffe im Roten Meer die Huthi-Miliz im Jemen aus der Luft angegriffen hatten.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(89%)</w:t>
            </w:r>
          </w:p>
        </w:tc>
      </w:tr>
      <w:tr>
        <w:tblPrEx>
          <w:tblW w:w="5000" w:type="pct"/>
          <w:tblCellMar>
            <w:left w:w="108" w:type="dxa"/>
            <w:right w:w="108" w:type="dxa"/>
          </w:tblCellMar>
        </w:tblPrEx>
        <w:tc>
          <w:tcPr>
            <w:tcW w:w="360" w:type="dxa"/>
            <w:shd w:val="clear" w:color="auto" w:fill="F2F2F2"/>
          </w:tcPr>
          <w:p w:rsidR="00A77B3E">
            <w:pPr>
              <w:jc w:val="left"/>
            </w:pPr>
            <w:r>
              <w:rPr>
                <w:noProof/>
                <w:sz w:val="16"/>
              </w:rPr>
              <w:t>11</w:t>
              <w:br/>
            </w:r>
            <w:r>
              <w:rPr>
                <w:noProof/>
                <w:sz w:val="2"/>
              </w:rPr>
              <w:t>e95e421f-b94b-4bc1-b744-9987e923807c</w:t>
            </w:r>
          </w:p>
        </w:tc>
        <w:tc>
          <w:tcPr>
            <w:tcW w:w="360" w:type="dxa"/>
            <w:shd w:val="clear" w:color="auto" w:fill="F2F2F2"/>
          </w:tcPr>
          <w:p w:rsidR="00A77B3E">
            <w:pPr>
              <w:pStyle w:val="mqeng"/>
              <w:jc w:val="left"/>
            </w:pPr>
            <w:r>
              <w:rPr>
                <w:noProof/>
              </w:rPr>
              <w:t>&amp;#7;European and emerging market high yield bonds performed positively and broadly in line, while US high yield posted a negative excess return.</w:t>
            </w:r>
          </w:p>
        </w:tc>
        <w:tc>
          <w:tcPr>
            <w:tcW w:w="360" w:type="dxa"/>
            <w:shd w:val="clear" w:color="auto" w:fill="auto"/>
          </w:tcPr>
          <w:p w:rsidR="00A77B3E">
            <w:pPr>
              <w:pStyle w:val="mqger"/>
              <w:jc w:val="left"/>
            </w:pPr>
            <w:r>
              <w:rPr>
                <w:noProof w:val="0"/>
              </w:rPr>
              <w:t>Hochzinsanleihen aus Europa und den Schwellenländern entwickelten sich positiv und weitgehend im Gleichschritt, während ihre Pendants aus den USA eine negative Überrendite verbuchten.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12</w:t>
              <w:br/>
            </w:r>
            <w:r>
              <w:rPr>
                <w:noProof/>
                <w:sz w:val="2"/>
              </w:rPr>
              <w:t>2a37c441-cf9f-44e0-a4d1-dbcf398a01ab</w:t>
            </w:r>
          </w:p>
        </w:tc>
        <w:tc>
          <w:tcPr>
            <w:tcW w:w="360" w:type="dxa"/>
            <w:shd w:val="clear" w:color="auto" w:fill="F2F2F2"/>
          </w:tcPr>
          <w:p w:rsidR="00A77B3E">
            <w:pPr>
              <w:pStyle w:val="mqeng"/>
              <w:jc w:val="left"/>
            </w:pPr>
            <w:r>
              <w:rPr>
                <w:noProof/>
              </w:rPr>
              <w:t>All rating categories in the US posted negative excess returns, with BB-rated bonds performing the best and CCC-rated bonds performing the worst.</w:t>
            </w:r>
          </w:p>
        </w:tc>
        <w:tc>
          <w:tcPr>
            <w:tcW w:w="360" w:type="dxa"/>
            <w:shd w:val="clear" w:color="auto" w:fill="auto"/>
          </w:tcPr>
          <w:p w:rsidR="00A77B3E">
            <w:pPr>
              <w:pStyle w:val="mqger"/>
              <w:jc w:val="left"/>
            </w:pPr>
            <w:r>
              <w:rPr>
                <w:noProof w:val="0"/>
              </w:rPr>
              <w:t>In den USA erzielten alle Rating-Kategorien positive Überrenditen, wobei Anleihen mit Rating BB am besten und solche mit Rating CCC am schlechtesten abschnitten.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(63%)</w:t>
            </w:r>
          </w:p>
        </w:tc>
      </w:tr>
      <w:tr>
        <w:tblPrEx>
          <w:tblW w:w="5000" w:type="pct"/>
          <w:tblCellMar>
            <w:left w:w="108" w:type="dxa"/>
            <w:right w:w="108" w:type="dxa"/>
          </w:tblCellMar>
        </w:tblPrEx>
        <w:tc>
          <w:tcPr>
            <w:tcW w:w="360" w:type="dxa"/>
            <w:shd w:val="clear" w:color="auto" w:fill="F2F2F2"/>
          </w:tcPr>
          <w:p w:rsidR="00A77B3E">
            <w:pPr>
              <w:jc w:val="left"/>
            </w:pPr>
            <w:r>
              <w:rPr>
                <w:noProof/>
                <w:sz w:val="16"/>
              </w:rPr>
              <w:t>13</w:t>
              <w:br/>
            </w:r>
            <w:r>
              <w:rPr>
                <w:noProof/>
                <w:sz w:val="2"/>
              </w:rPr>
              <w:t>a5463793-a4a5-40de-bf0a-6211fe3a69ce</w:t>
            </w:r>
          </w:p>
        </w:tc>
        <w:tc>
          <w:tcPr>
            <w:tcW w:w="360" w:type="dxa"/>
            <w:shd w:val="clear" w:color="auto" w:fill="F2F2F2"/>
          </w:tcPr>
          <w:p w:rsidR="00A77B3E">
            <w:pPr>
              <w:pStyle w:val="mqeng"/>
              <w:jc w:val="left"/>
            </w:pPr>
            <w:r>
              <w:rPr>
                <w:noProof/>
              </w:rPr>
              <w:t>In Europe, CCC-rated bonds performed the best, followed by B-rated bonds and then BB-rated bonds.</w:t>
            </w:r>
          </w:p>
        </w:tc>
        <w:tc>
          <w:tcPr>
            <w:tcW w:w="360" w:type="dxa"/>
            <w:shd w:val="clear" w:color="auto" w:fill="auto"/>
          </w:tcPr>
          <w:p w:rsidR="00A77B3E">
            <w:pPr>
              <w:pStyle w:val="mqger"/>
              <w:jc w:val="left"/>
            </w:pPr>
            <w:r>
              <w:rPr>
                <w:noProof w:val="0"/>
              </w:rPr>
              <w:t>In Europa verbuchten Anleihen mit Rating CCC die beste Performance, gefolgt von Titeln mit Rating B und BB.</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(68%)</w:t>
            </w:r>
          </w:p>
        </w:tc>
      </w:tr>
      <w:tr>
        <w:tblPrEx>
          <w:tblW w:w="5000" w:type="pct"/>
          <w:tblCellMar>
            <w:left w:w="108" w:type="dxa"/>
            <w:right w:w="108" w:type="dxa"/>
          </w:tblCellMar>
        </w:tblPrEx>
        <w:tc>
          <w:tcPr>
            <w:tcW w:w="360" w:type="dxa"/>
            <w:shd w:val="clear" w:color="auto" w:fill="F2F2F2"/>
          </w:tcPr>
          <w:p w:rsidR="00A77B3E">
            <w:pPr>
              <w:jc w:val="left"/>
            </w:pPr>
            <w:r>
              <w:rPr>
                <w:noProof/>
                <w:sz w:val="16"/>
              </w:rPr>
              <w:t>14</w:t>
              <w:br/>
            </w:r>
            <w:r>
              <w:rPr>
                <w:noProof/>
                <w:sz w:val="2"/>
              </w:rPr>
              <w:t>aa4d2084-680f-49b5-ab12-093425265d29</w:t>
            </w:r>
          </w:p>
        </w:tc>
        <w:tc>
          <w:tcPr>
            <w:tcW w:w="360" w:type="dxa"/>
            <w:shd w:val="clear" w:color="auto" w:fill="F2F2F2"/>
          </w:tcPr>
          <w:p w:rsidR="00A77B3E">
            <w:pPr>
              <w:pStyle w:val="mqeng"/>
              <w:jc w:val="left"/>
            </w:pPr>
            <w:r>
              <w:rPr>
                <w:b/>
                <w:i w:val="0"/>
                <w:noProof/>
                <w:u w:val="none"/>
                <w:vertAlign w:val="baseline"/>
              </w:rPr>
              <w:t>Portfolio review</w:t>
            </w:r>
          </w:p>
        </w:tc>
        <w:tc>
          <w:tcPr>
            <w:tcW w:w="360" w:type="dxa"/>
            <w:shd w:val="clear" w:color="auto" w:fill="auto"/>
          </w:tcPr>
          <w:p w:rsidR="00A77B3E">
            <w:pPr>
              <w:pStyle w:val="mqger"/>
              <w:jc w:val="left"/>
            </w:pPr>
            <w:r>
              <w:rPr>
                <w:b/>
                <w:i w:val="0"/>
                <w:noProof w:val="0"/>
                <w:u w:val="none"/>
                <w:vertAlign w:val="baseline"/>
              </w:rPr>
              <w:t>Portfolio review</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r>
          </w:p>
        </w:tc>
      </w:tr>
      <w:tr>
        <w:tblPrEx>
          <w:tblW w:w="5000" w:type="pct"/>
          <w:tblCellMar>
            <w:left w:w="108" w:type="dxa"/>
            <w:right w:w="108" w:type="dxa"/>
          </w:tblCellMar>
        </w:tblPrEx>
        <w:tc>
          <w:tcPr>
            <w:tcW w:w="360" w:type="dxa"/>
            <w:shd w:val="clear" w:color="auto" w:fill="F2F2F2"/>
          </w:tcPr>
          <w:p w:rsidR="00A77B3E">
            <w:pPr>
              <w:jc w:val="left"/>
            </w:pPr>
            <w:r>
              <w:rPr>
                <w:noProof/>
                <w:sz w:val="16"/>
              </w:rPr>
              <w:t>15</w:t>
              <w:br/>
            </w:r>
            <w:r>
              <w:rPr>
                <w:noProof/>
                <w:sz w:val="2"/>
              </w:rPr>
              <w:t>55cd7e4b-ccc5-4d94-8092-95b51d615551</w:t>
            </w:r>
          </w:p>
        </w:tc>
        <w:tc>
          <w:tcPr>
            <w:tcW w:w="360" w:type="dxa"/>
            <w:shd w:val="clear" w:color="auto" w:fill="F2F2F2"/>
          </w:tcPr>
          <w:p w:rsidR="00A77B3E">
            <w:pPr>
              <w:pStyle w:val="mqeng"/>
              <w:jc w:val="left"/>
            </w:pPr>
            <w:r>
              <w:rPr>
                <w:noProof/>
              </w:rPr>
              <w:t>Security selection was the key driver of outperformance while sector allocation also contributed positively.</w:t>
            </w:r>
          </w:p>
        </w:tc>
        <w:tc>
          <w:tcPr>
            <w:tcW w:w="360" w:type="dxa"/>
            <w:shd w:val="clear" w:color="auto" w:fill="auto"/>
          </w:tcPr>
          <w:p w:rsidR="00A77B3E">
            <w:pPr>
              <w:pStyle w:val="mqger"/>
              <w:jc w:val="left"/>
            </w:pPr>
            <w:r>
              <w:rPr>
                <w:noProof w:val="0"/>
              </w:rPr>
              <w:t>Die Outperformance des Fonds war vor allem auf die Titelauswahl zurückzuführen, aber auch die Sektorallokation leistete einen positiven Beitrag.</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(94%)</w:t>
            </w:r>
          </w:p>
        </w:tc>
      </w:tr>
      <w:tr>
        <w:tblPrEx>
          <w:tblW w:w="5000" w:type="pct"/>
          <w:tblCellMar>
            <w:left w:w="108" w:type="dxa"/>
            <w:right w:w="108" w:type="dxa"/>
          </w:tblCellMar>
        </w:tblPrEx>
        <w:tc>
          <w:tcPr>
            <w:tcW w:w="360" w:type="dxa"/>
            <w:shd w:val="clear" w:color="auto" w:fill="F2F2F2"/>
          </w:tcPr>
          <w:p w:rsidR="00A77B3E">
            <w:pPr>
              <w:jc w:val="left"/>
            </w:pPr>
            <w:r>
              <w:rPr>
                <w:noProof/>
                <w:sz w:val="16"/>
              </w:rPr>
              <w:t>16</w:t>
              <w:br/>
            </w:r>
            <w:r>
              <w:rPr>
                <w:noProof/>
                <w:sz w:val="2"/>
              </w:rPr>
              <w:t>c9cd445e-b7e8-49b0-a28f-68e7b5e89750</w:t>
            </w:r>
          </w:p>
        </w:tc>
        <w:tc>
          <w:tcPr>
            <w:tcW w:w="360" w:type="dxa"/>
            <w:shd w:val="clear" w:color="auto" w:fill="F2F2F2"/>
          </w:tcPr>
          <w:p w:rsidR="00A77B3E">
            <w:pPr>
              <w:pStyle w:val="mqeng"/>
              <w:jc w:val="left"/>
            </w:pPr>
            <w:r>
              <w:rPr>
                <w:noProof/>
              </w:rPr>
              <w:t>At the sector level, underweight positions in media and telecommunications contributed positively to performance.</w:t>
            </w:r>
          </w:p>
        </w:tc>
        <w:tc>
          <w:tcPr>
            <w:tcW w:w="360" w:type="dxa"/>
            <w:shd w:val="clear" w:color="auto" w:fill="auto"/>
          </w:tcPr>
          <w:p w:rsidR="00A77B3E">
            <w:pPr>
              <w:pStyle w:val="mqger"/>
              <w:jc w:val="left"/>
            </w:pPr>
            <w:r>
              <w:rPr>
                <w:noProof w:val="0"/>
              </w:rPr>
              <w:t>Auf der Sektorebene trug die Untergewichtung des Medien- und des Telekommunikationssektors positiv zur Wertentwicklung bei.</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(66%)</w:t>
            </w:r>
          </w:p>
        </w:tc>
      </w:tr>
      <w:tr>
        <w:tblPrEx>
          <w:tblW w:w="5000" w:type="pct"/>
          <w:tblCellMar>
            <w:left w:w="108" w:type="dxa"/>
            <w:right w:w="108" w:type="dxa"/>
          </w:tblCellMar>
        </w:tblPrEx>
        <w:tc>
          <w:tcPr>
            <w:tcW w:w="360" w:type="dxa"/>
            <w:shd w:val="clear" w:color="auto" w:fill="F2F2F2"/>
          </w:tcPr>
          <w:p w:rsidR="00A77B3E">
            <w:pPr>
              <w:jc w:val="left"/>
            </w:pPr>
            <w:r>
              <w:rPr>
                <w:noProof/>
                <w:sz w:val="16"/>
              </w:rPr>
              <w:t>17</w:t>
              <w:br/>
            </w:r>
            <w:r>
              <w:rPr>
                <w:noProof/>
                <w:sz w:val="2"/>
              </w:rPr>
              <w:t>b0db27f8-6b7d-4692-a407-7bee41ccc5aa</w:t>
            </w:r>
          </w:p>
        </w:tc>
        <w:tc>
          <w:tcPr>
            <w:tcW w:w="360" w:type="dxa"/>
            <w:shd w:val="clear" w:color="auto" w:fill="F2F2F2"/>
          </w:tcPr>
          <w:p w:rsidR="00A77B3E">
            <w:pPr>
              <w:pStyle w:val="mqeng"/>
              <w:jc w:val="left"/>
            </w:pPr>
            <w:r>
              <w:rPr>
                <w:noProof/>
              </w:rPr>
              <w:t>An underweight position in real estate detracted, as the sector was one of the best performing in January.</w:t>
            </w:r>
          </w:p>
        </w:tc>
        <w:tc>
          <w:tcPr>
            <w:tcW w:w="360" w:type="dxa"/>
            <w:shd w:val="clear" w:color="auto" w:fill="auto"/>
          </w:tcPr>
          <w:p w:rsidR="00A77B3E">
            <w:pPr>
              <w:pStyle w:val="mqger"/>
              <w:jc w:val="left"/>
            </w:pPr>
            <w:r>
              <w:rPr>
                <w:noProof w:val="0"/>
              </w:rPr>
              <w:t>Die Untergewichtung des Immobiliensektors, der im Januar zu den Spitzenreitern gehörte, wirkte sich dagegen ungünstig aus.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18</w:t>
              <w:br/>
            </w:r>
            <w:r>
              <w:rPr>
                <w:noProof/>
                <w:sz w:val="2"/>
              </w:rPr>
              <w:t>5ca919e4-ab1f-42e7-874a-4bc1c16180cc</w:t>
            </w:r>
          </w:p>
        </w:tc>
        <w:tc>
          <w:tcPr>
            <w:tcW w:w="360" w:type="dxa"/>
            <w:shd w:val="clear" w:color="auto" w:fill="F2F2F2"/>
          </w:tcPr>
          <w:p w:rsidR="00A77B3E">
            <w:pPr>
              <w:pStyle w:val="mqeng"/>
              <w:jc w:val="left"/>
            </w:pPr>
            <w:r>
              <w:rPr>
                <w:noProof/>
              </w:rPr>
              <w:t>However, the fund benefited from strongly positive security selection here.</w:t>
            </w:r>
          </w:p>
        </w:tc>
        <w:tc>
          <w:tcPr>
            <w:tcW w:w="360" w:type="dxa"/>
            <w:shd w:val="clear" w:color="auto" w:fill="auto"/>
          </w:tcPr>
          <w:p w:rsidR="00A77B3E">
            <w:pPr>
              <w:pStyle w:val="mqger"/>
              <w:jc w:val="left"/>
            </w:pPr>
            <w:r>
              <w:rPr>
                <w:noProof w:val="0"/>
              </w:rPr>
              <w:t>Allerdings profitierte der Fonds hier von seiner starken Titelauswahl.</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19</w:t>
              <w:br/>
            </w:r>
            <w:r>
              <w:rPr>
                <w:noProof/>
                <w:sz w:val="2"/>
              </w:rPr>
              <w:t>30b5fefe-a7fc-4e80-ac86-a34b7c594a53</w:t>
            </w:r>
          </w:p>
        </w:tc>
        <w:tc>
          <w:tcPr>
            <w:tcW w:w="360" w:type="dxa"/>
            <w:shd w:val="clear" w:color="auto" w:fill="F2F2F2"/>
          </w:tcPr>
          <w:p w:rsidR="00A77B3E">
            <w:pPr>
              <w:pStyle w:val="mqeng"/>
              <w:jc w:val="left"/>
            </w:pPr>
            <w:r>
              <w:rPr>
                <w:noProof/>
              </w:rPr>
              <w:t>Security selection in telecommunications, technology and electronics and retail also added value, while security selection in capital goods hurt returns.</w:t>
            </w:r>
          </w:p>
        </w:tc>
        <w:tc>
          <w:tcPr>
            <w:tcW w:w="360" w:type="dxa"/>
            <w:shd w:val="clear" w:color="auto" w:fill="auto"/>
          </w:tcPr>
          <w:p w:rsidR="00A77B3E">
            <w:pPr>
              <w:pStyle w:val="mqger"/>
              <w:jc w:val="left"/>
            </w:pPr>
            <w:r>
              <w:rPr>
                <w:noProof w:val="0"/>
              </w:rPr>
              <w:t>Diese kam der Performance auch in den Sektoren Telekommunikation, Technologie und Elektronik sowie Einzelhandel zugute, während sie im Bereich Investitionsgüter die Fondsbilanz schmälerte.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(72%)</w:t>
            </w:r>
          </w:p>
        </w:tc>
      </w:tr>
      <w:tr>
        <w:tblPrEx>
          <w:tblW w:w="5000" w:type="pct"/>
          <w:tblCellMar>
            <w:left w:w="108" w:type="dxa"/>
            <w:right w:w="108" w:type="dxa"/>
          </w:tblCellMar>
        </w:tblPrEx>
        <w:tc>
          <w:tcPr>
            <w:tcW w:w="360" w:type="dxa"/>
            <w:shd w:val="clear" w:color="auto" w:fill="F2F2F2"/>
          </w:tcPr>
          <w:p w:rsidR="00A77B3E">
            <w:pPr>
              <w:jc w:val="left"/>
            </w:pPr>
            <w:r>
              <w:rPr>
                <w:noProof/>
                <w:sz w:val="16"/>
              </w:rPr>
              <w:t>20</w:t>
              <w:br/>
            </w:r>
            <w:r>
              <w:rPr>
                <w:noProof/>
                <w:sz w:val="2"/>
              </w:rPr>
              <w:t>2cf6afb5-44f0-4d74-aa29-7e76cb7eb242</w:t>
            </w:r>
          </w:p>
        </w:tc>
        <w:tc>
          <w:tcPr>
            <w:tcW w:w="360" w:type="dxa"/>
            <w:shd w:val="clear" w:color="auto" w:fill="F2F2F2"/>
          </w:tcPr>
          <w:p w:rsidR="00A77B3E">
            <w:pPr>
              <w:pStyle w:val="mqeng"/>
              <w:jc w:val="left"/>
            </w:pPr>
            <w:r>
              <w:rPr>
                <w:noProof/>
              </w:rPr>
              <w:t>Regionally, security selection in Europe and North America contributed positively to performance, while security selection in emerging markets detracted.</w:t>
            </w:r>
          </w:p>
        </w:tc>
        <w:tc>
          <w:tcPr>
            <w:tcW w:w="360" w:type="dxa"/>
            <w:shd w:val="clear" w:color="auto" w:fill="auto"/>
          </w:tcPr>
          <w:p w:rsidR="00A77B3E">
            <w:pPr>
              <w:pStyle w:val="mqger"/>
              <w:jc w:val="left"/>
            </w:pPr>
            <w:r>
              <w:rPr>
                <w:noProof w:val="0"/>
              </w:rPr>
              <w:t>Nach Regionen aufgeschlüsselt wirkte sich die Titelauswahl in Europa und Nordamerika vorteilhaft und in den Schwellenländern ungünstig auf die Performance aus.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(71%)</w:t>
            </w:r>
          </w:p>
        </w:tc>
      </w:tr>
      <w:tr>
        <w:tblPrEx>
          <w:tblW w:w="5000" w:type="pct"/>
          <w:tblCellMar>
            <w:left w:w="108" w:type="dxa"/>
            <w:right w:w="108" w:type="dxa"/>
          </w:tblCellMar>
        </w:tblPrEx>
        <w:tc>
          <w:tcPr>
            <w:tcW w:w="360" w:type="dxa"/>
            <w:shd w:val="clear" w:color="auto" w:fill="F2F2F2"/>
          </w:tcPr>
          <w:p w:rsidR="00A77B3E">
            <w:pPr>
              <w:jc w:val="left"/>
            </w:pPr>
            <w:r>
              <w:rPr>
                <w:noProof/>
                <w:sz w:val="16"/>
              </w:rPr>
              <w:t>21</w:t>
              <w:br/>
            </w:r>
            <w:r>
              <w:rPr>
                <w:noProof/>
                <w:sz w:val="2"/>
              </w:rPr>
              <w:t>0bd0efc6-6c4e-4bb8-891c-dcaa32b680f3</w:t>
            </w:r>
          </w:p>
        </w:tc>
        <w:tc>
          <w:tcPr>
            <w:tcW w:w="360" w:type="dxa"/>
            <w:shd w:val="clear" w:color="auto" w:fill="F2F2F2"/>
          </w:tcPr>
          <w:p w:rsidR="00A77B3E">
            <w:pPr>
              <w:pStyle w:val="mqeng"/>
              <w:jc w:val="left"/>
            </w:pPr>
            <w:r>
              <w:rPr>
                <w:noProof/>
              </w:rPr>
              <w:t>At the issuer level, the fund's overweight position in European REIT CPI Property contributed strongly to returns.</w:t>
            </w:r>
          </w:p>
        </w:tc>
        <w:tc>
          <w:tcPr>
            <w:tcW w:w="360" w:type="dxa"/>
            <w:shd w:val="clear" w:color="auto" w:fill="auto"/>
          </w:tcPr>
          <w:p w:rsidR="00A77B3E">
            <w:pPr>
              <w:pStyle w:val="mqger"/>
              <w:jc w:val="left"/>
            </w:pPr>
            <w:r>
              <w:rPr>
                <w:noProof w:val="0"/>
              </w:rPr>
              <w:t>Auf der Emittentenebene erwies sich die Übergewichtung der europäischen REIT CPI Property als sehr vorteilhaft für den Fonds.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(70%)</w:t>
            </w:r>
          </w:p>
        </w:tc>
      </w:tr>
      <w:tr>
        <w:tblPrEx>
          <w:tblW w:w="5000" w:type="pct"/>
          <w:tblCellMar>
            <w:left w:w="108" w:type="dxa"/>
            <w:right w:w="108" w:type="dxa"/>
          </w:tblCellMar>
        </w:tblPrEx>
        <w:tc>
          <w:tcPr>
            <w:tcW w:w="360" w:type="dxa"/>
            <w:shd w:val="clear" w:color="auto" w:fill="F2F2F2"/>
          </w:tcPr>
          <w:p w:rsidR="00A77B3E">
            <w:pPr>
              <w:jc w:val="left"/>
            </w:pPr>
            <w:r>
              <w:rPr>
                <w:noProof/>
                <w:sz w:val="16"/>
              </w:rPr>
              <w:t>22</w:t>
              <w:br/>
            </w:r>
            <w:r>
              <w:rPr>
                <w:noProof/>
                <w:sz w:val="2"/>
              </w:rPr>
              <w:t>f2b25253-3448-4c34-81e2-535b7a19cb0f</w:t>
            </w:r>
          </w:p>
        </w:tc>
        <w:tc>
          <w:tcPr>
            <w:tcW w:w="360" w:type="dxa"/>
            <w:shd w:val="clear" w:color="auto" w:fill="F2F2F2"/>
          </w:tcPr>
          <w:p w:rsidR="00A77B3E">
            <w:pPr>
              <w:pStyle w:val="mqeng"/>
              <w:jc w:val="left"/>
            </w:pPr>
            <w:r>
              <w:rPr>
                <w:noProof/>
              </w:rPr>
              <w:t>CPI underperformed in 2023, as the high interest rate environment put pressure on its business model and following December's news that Muddy waters (the short-selling hedge fund) had bet against it.</w:t>
            </w:r>
          </w:p>
        </w:tc>
        <w:tc>
          <w:tcPr>
            <w:tcW w:w="360" w:type="dxa"/>
            <w:shd w:val="clear" w:color="auto" w:fill="auto"/>
          </w:tcPr>
          <w:p w:rsidR="00A77B3E">
            <w:pPr>
              <w:pStyle w:val="mqger"/>
              <w:jc w:val="left"/>
            </w:pPr>
            <w:r>
              <w:rPr>
                <w:noProof w:val="0"/>
              </w:rPr>
              <w:t>Für CPI fiel die Bilanz für das Jahr 2023 zwar schwach aus, da die hohen Zinsen sein Geschäftsmodell unter Druck setzten. Hinzu kam, dass Muddy Waters, ein auf Leerverkäufe spezialisierter Hedgefonds, Medienberichten vom Dezember zufolge eine Short-Position auf CPI aufgesetzt hatte.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(79%)</w:t>
            </w:r>
          </w:p>
        </w:tc>
      </w:tr>
      <w:tr>
        <w:tblPrEx>
          <w:tblW w:w="5000" w:type="pct"/>
          <w:tblCellMar>
            <w:left w:w="108" w:type="dxa"/>
            <w:right w:w="108" w:type="dxa"/>
          </w:tblCellMar>
        </w:tblPrEx>
        <w:tc>
          <w:tcPr>
            <w:tcW w:w="360" w:type="dxa"/>
            <w:shd w:val="clear" w:color="auto" w:fill="F2F2F2"/>
          </w:tcPr>
          <w:p w:rsidR="00A77B3E">
            <w:pPr>
              <w:jc w:val="left"/>
            </w:pPr>
            <w:r>
              <w:rPr>
                <w:noProof/>
                <w:sz w:val="16"/>
              </w:rPr>
              <w:t>23</w:t>
              <w:br/>
            </w:r>
            <w:r>
              <w:rPr>
                <w:noProof/>
                <w:sz w:val="2"/>
              </w:rPr>
              <w:t>8406e174-ba0c-40f1-bfa4-c46e63af783b</w:t>
            </w:r>
          </w:p>
        </w:tc>
        <w:tc>
          <w:tcPr>
            <w:tcW w:w="360" w:type="dxa"/>
            <w:shd w:val="clear" w:color="auto" w:fill="F2F2F2"/>
          </w:tcPr>
          <w:p w:rsidR="00A77B3E">
            <w:pPr>
              <w:pStyle w:val="mqeng"/>
              <w:jc w:val="left"/>
            </w:pPr>
            <w:r>
              <w:rPr>
                <w:noProof/>
              </w:rPr>
              <w:t>However, its spread tightened significantly in January, alongside the broader REIT sector, as investor expectations for a cut in interest rates deepened.</w:t>
            </w:r>
          </w:p>
        </w:tc>
        <w:tc>
          <w:tcPr>
            <w:tcW w:w="360" w:type="dxa"/>
            <w:shd w:val="clear" w:color="auto" w:fill="auto"/>
          </w:tcPr>
          <w:p w:rsidR="00A77B3E">
            <w:pPr>
              <w:pStyle w:val="mqger"/>
              <w:jc w:val="left"/>
            </w:pPr>
            <w:r>
              <w:rPr>
                <w:noProof w:val="0"/>
              </w:rPr>
              <w:t>Im Januar verengte sich der Risikoaufschlag jedoch erheblich parallel zum REIT-Sektor, da immer mehr Anleger mit baldigen Zinssenkungen rechneten.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24</w:t>
              <w:br/>
            </w:r>
            <w:r>
              <w:rPr>
                <w:noProof/>
                <w:sz w:val="2"/>
              </w:rPr>
              <w:t>75f0abd7-90d0-498f-b8f8-249426477c4d</w:t>
            </w:r>
          </w:p>
        </w:tc>
        <w:tc>
          <w:tcPr>
            <w:tcW w:w="360" w:type="dxa"/>
            <w:shd w:val="clear" w:color="auto" w:fill="F2F2F2"/>
          </w:tcPr>
          <w:p w:rsidR="00A77B3E">
            <w:pPr>
              <w:pStyle w:val="mqeng"/>
              <w:jc w:val="left"/>
            </w:pPr>
            <w:r>
              <w:rPr>
                <w:noProof/>
              </w:rPr>
              <w:t>Elsewhere, an overweight position in UK energy company EDF contributed positively to performance, despite news flow in January around increased costs for its nuclear plant currently being built in the UK.</w:t>
            </w:r>
          </w:p>
        </w:tc>
        <w:tc>
          <w:tcPr>
            <w:tcW w:w="360" w:type="dxa"/>
            <w:shd w:val="clear" w:color="auto" w:fill="auto"/>
          </w:tcPr>
          <w:p w:rsidR="00A77B3E">
            <w:pPr>
              <w:pStyle w:val="mqger"/>
              <w:jc w:val="left"/>
            </w:pPr>
            <w:r>
              <w:rPr>
                <w:noProof w:val="0"/>
              </w:rPr>
              <w:t>Von Vorteil war zudem die Übergewichtung des Energieunternehmens EDF trotz Medienberichten vom Januar über Kostensteigerungen bei seinem in Großbritannien im Bau befindlichen Kernkraftwerk.</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25</w:t>
              <w:br/>
            </w:r>
            <w:r>
              <w:rPr>
                <w:noProof/>
                <w:sz w:val="2"/>
              </w:rPr>
              <w:t>d2a46c93-e132-4fd0-be3e-756352f5071b</w:t>
            </w:r>
          </w:p>
        </w:tc>
        <w:tc>
          <w:tcPr>
            <w:tcW w:w="360" w:type="dxa"/>
            <w:shd w:val="clear" w:color="auto" w:fill="F2F2F2"/>
          </w:tcPr>
          <w:p w:rsidR="00A77B3E">
            <w:pPr>
              <w:pStyle w:val="mqeng"/>
              <w:jc w:val="left"/>
            </w:pPr>
            <w:r>
              <w:rPr>
                <w:noProof/>
              </w:rPr>
              <w:t>Not holding US television provider Dish Network, France-based information technology company Atos and construction engineering firm CSC also helped returns.</w:t>
            </w:r>
          </w:p>
        </w:tc>
        <w:tc>
          <w:tcPr>
            <w:tcW w:w="360" w:type="dxa"/>
            <w:shd w:val="clear" w:color="auto" w:fill="auto"/>
          </w:tcPr>
          <w:p w:rsidR="00A77B3E">
            <w:pPr>
              <w:pStyle w:val="mqger"/>
              <w:jc w:val="left"/>
            </w:pPr>
            <w:r>
              <w:rPr>
                <w:noProof w:val="0"/>
              </w:rPr>
              <w:t>Auch das fehlende Engagement beim US-Sender Dish Network, dem französischen IT-Unternehmen Atos und dem Bauunternehmen CSC kam der Rendite zugute.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26</w:t>
              <w:br/>
            </w:r>
            <w:r>
              <w:rPr>
                <w:noProof/>
                <w:sz w:val="2"/>
              </w:rPr>
              <w:t>641df015-34e7-479f-8e1b-31ae60004443</w:t>
            </w:r>
          </w:p>
        </w:tc>
        <w:tc>
          <w:tcPr>
            <w:tcW w:w="360" w:type="dxa"/>
            <w:shd w:val="clear" w:color="auto" w:fill="F2F2F2"/>
          </w:tcPr>
          <w:p w:rsidR="00A77B3E">
            <w:pPr>
              <w:pStyle w:val="mqeng"/>
              <w:jc w:val="left"/>
            </w:pPr>
            <w:r>
              <w:rPr>
                <w:noProof/>
              </w:rPr>
              <w:t>Conversely, overweight positions in paper and packaging company LABL, Mexico City International Airport, which is an emerging market corporate issuer, and US television network Univision hurt returns.</w:t>
            </w:r>
          </w:p>
        </w:tc>
        <w:tc>
          <w:tcPr>
            <w:tcW w:w="360" w:type="dxa"/>
            <w:shd w:val="clear" w:color="auto" w:fill="auto"/>
          </w:tcPr>
          <w:p w:rsidR="00A77B3E">
            <w:pPr>
              <w:pStyle w:val="mqger"/>
              <w:jc w:val="left"/>
            </w:pPr>
            <w:r>
              <w:rPr>
                <w:noProof w:val="0"/>
              </w:rPr>
              <w:t>Dagegen schmälerten die übergewichteten Positionen beim Papier- und Verpackungsunternehmen LABL, bei Mexico City International Airport, einem Flughafenbetreiber aus Mexiko, und beim US-Fernsehsender Univision das Ergebnis.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27</w:t>
              <w:br/>
            </w:r>
            <w:r>
              <w:rPr>
                <w:noProof/>
                <w:sz w:val="2"/>
              </w:rPr>
              <w:t>ab0f41d5-b7b5-4db6-97d0-08b6701432f1</w:t>
            </w:r>
          </w:p>
        </w:tc>
        <w:tc>
          <w:tcPr>
            <w:tcW w:w="360" w:type="dxa"/>
            <w:shd w:val="clear" w:color="auto" w:fill="F2F2F2"/>
          </w:tcPr>
          <w:p w:rsidR="00A77B3E">
            <w:pPr>
              <w:pStyle w:val="mqeng"/>
              <w:jc w:val="left"/>
            </w:pPr>
            <w:r>
              <w:rPr>
                <w:noProof/>
              </w:rPr>
              <w:t>Not holding some issuers that rallied during the month also weighed on relative returns, including chemicals company Chart Industries and European real estate company Heimstaden Bostad.</w:t>
            </w:r>
          </w:p>
        </w:tc>
        <w:tc>
          <w:tcPr>
            <w:tcW w:w="360" w:type="dxa"/>
            <w:shd w:val="clear" w:color="auto" w:fill="auto"/>
          </w:tcPr>
          <w:p w:rsidR="00A77B3E">
            <w:pPr>
              <w:pStyle w:val="mqger"/>
              <w:jc w:val="left"/>
            </w:pPr>
            <w:r>
              <w:rPr>
                <w:noProof w:val="0"/>
              </w:rPr>
              <w:t>Geschmälert wurde die Wertentwicklung vom fehlenden Engagement bei einigen Emittenten, die im Januar kräftig anzogen. Dazu gehörten das Chemieunternehmen Chart Industries sowie die europäische Immobiliengesellschaft Heimstaden Bostad.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(61%)</w:t>
            </w:r>
          </w:p>
        </w:tc>
      </w:tr>
      <w:tr>
        <w:tblPrEx>
          <w:tblW w:w="5000" w:type="pct"/>
          <w:tblCellMar>
            <w:left w:w="108" w:type="dxa"/>
            <w:right w:w="108" w:type="dxa"/>
          </w:tblCellMar>
        </w:tblPrEx>
        <w:tc>
          <w:tcPr>
            <w:tcW w:w="360" w:type="dxa"/>
            <w:shd w:val="clear" w:color="auto" w:fill="F2F2F2"/>
          </w:tcPr>
          <w:p w:rsidR="00A77B3E">
            <w:pPr>
              <w:jc w:val="left"/>
            </w:pPr>
            <w:r>
              <w:rPr>
                <w:noProof/>
                <w:sz w:val="16"/>
              </w:rPr>
              <w:t>28</w:t>
              <w:br/>
            </w:r>
            <w:r>
              <w:rPr>
                <w:noProof/>
                <w:sz w:val="2"/>
              </w:rPr>
              <w:t>4987f7f8-b78c-4980-b377-3677f131fffb</w:t>
            </w:r>
          </w:p>
        </w:tc>
        <w:tc>
          <w:tcPr>
            <w:tcW w:w="360" w:type="dxa"/>
            <w:shd w:val="clear" w:color="auto" w:fill="F2F2F2"/>
          </w:tcPr>
          <w:p w:rsidR="00A77B3E">
            <w:pPr>
              <w:pStyle w:val="mqeng"/>
              <w:jc w:val="left"/>
            </w:pPr>
            <w:r>
              <w:rPr>
                <w:noProof/>
              </w:rPr>
              <w:t>We added some new issues to the fund during the month, including real estate logistics company Logicor and UK chemicals firm Ineos.</w:t>
            </w:r>
          </w:p>
        </w:tc>
        <w:tc>
          <w:tcPr>
            <w:tcW w:w="360" w:type="dxa"/>
            <w:shd w:val="clear" w:color="auto" w:fill="auto"/>
          </w:tcPr>
          <w:p w:rsidR="00A77B3E">
            <w:pPr>
              <w:pStyle w:val="mqger"/>
              <w:jc w:val="left"/>
            </w:pPr>
            <w:r>
              <w:rPr>
                <w:noProof w:val="0"/>
              </w:rPr>
              <w:t>Im Januar beteiligten wir uns an einigen Neuemissionen, darunter die des Logistikimmobilienspezialisten Logicor und des britischen Chemieunternehmens Ineos.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29</w:t>
              <w:br/>
            </w:r>
            <w:r>
              <w:rPr>
                <w:noProof/>
                <w:sz w:val="2"/>
              </w:rPr>
              <w:t>4c62568f-59b2-4ba6-b5fb-21d105521c56</w:t>
            </w:r>
          </w:p>
        </w:tc>
        <w:tc>
          <w:tcPr>
            <w:tcW w:w="360" w:type="dxa"/>
            <w:shd w:val="clear" w:color="auto" w:fill="F2F2F2"/>
          </w:tcPr>
          <w:p w:rsidR="00A77B3E">
            <w:pPr>
              <w:pStyle w:val="mqeng"/>
              <w:jc w:val="left"/>
            </w:pPr>
            <w:r>
              <w:rPr>
                <w:noProof/>
              </w:rPr>
              <w:t>Elsewhere, the automotive sector was hit hard at the beginning of 2023 with spreads widening, so we added a new bond from German automotive company Schaeffler, which was attractively priced.</w:t>
            </w:r>
          </w:p>
        </w:tc>
        <w:tc>
          <w:tcPr>
            <w:tcW w:w="360" w:type="dxa"/>
            <w:shd w:val="clear" w:color="auto" w:fill="auto"/>
          </w:tcPr>
          <w:p w:rsidR="00A77B3E">
            <w:pPr>
              <w:pStyle w:val="mqger"/>
              <w:jc w:val="left"/>
            </w:pPr>
            <w:r>
              <w:rPr>
                <w:noProof w:val="0"/>
              </w:rPr>
              <w:t>Zu Jahresbeginn geriet der Automobilsektor stark unter Druck, und die Spreads weiteten sich. Daher nahmen wir die attraktiv bewertete neue Anleihe des deutschen Automobilzulieferers Schaeffler ins Portfolio.</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30</w:t>
              <w:br/>
            </w:r>
            <w:r>
              <w:rPr>
                <w:noProof/>
                <w:sz w:val="2"/>
              </w:rPr>
              <w:t>67c1dfc6-d010-49a8-ab07-df1ac37c5462</w:t>
            </w:r>
          </w:p>
        </w:tc>
        <w:tc>
          <w:tcPr>
            <w:tcW w:w="360" w:type="dxa"/>
            <w:shd w:val="clear" w:color="auto" w:fill="F2F2F2"/>
          </w:tcPr>
          <w:p w:rsidR="00A77B3E">
            <w:pPr>
              <w:pStyle w:val="mqeng"/>
              <w:jc w:val="left"/>
            </w:pPr>
            <w:r>
              <w:rPr>
                <w:noProof/>
              </w:rPr>
              <w:t>We increased the fund's exposure in housebuilder Miller Homes, as we like the outlook for its business, given sustained demand for new build homes and as mortgage rates begin to fall.</w:t>
            </w:r>
          </w:p>
        </w:tc>
        <w:tc>
          <w:tcPr>
            <w:tcW w:w="360" w:type="dxa"/>
            <w:shd w:val="clear" w:color="auto" w:fill="auto"/>
          </w:tcPr>
          <w:p w:rsidR="00A77B3E">
            <w:pPr>
              <w:pStyle w:val="mqger"/>
              <w:jc w:val="left"/>
            </w:pPr>
            <w:r>
              <w:rPr>
                <w:noProof w:val="0"/>
              </w:rPr>
              <w:t>Darüber hinaus engagierten wir uns stärker beim Hausbauunternehmen Miller Homes, da uns die Aussichten für sein Geschäft angesichts der anhaltenden Nachfrage nach Neubauten und sinkender Hypothekenzinsen gefallen.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31</w:t>
              <w:br/>
            </w:r>
            <w:r>
              <w:rPr>
                <w:noProof/>
                <w:sz w:val="2"/>
              </w:rPr>
              <w:t>4024ca5d-fbd2-41b7-89df-d8f5b5de992c</w:t>
            </w:r>
          </w:p>
        </w:tc>
        <w:tc>
          <w:tcPr>
            <w:tcW w:w="360" w:type="dxa"/>
            <w:shd w:val="clear" w:color="auto" w:fill="F2F2F2"/>
          </w:tcPr>
          <w:p w:rsidR="00A77B3E">
            <w:pPr>
              <w:pStyle w:val="mqeng"/>
              <w:jc w:val="left"/>
            </w:pPr>
            <w:r>
              <w:rPr>
                <w:b/>
                <w:i w:val="0"/>
                <w:noProof/>
                <w:u w:val="none"/>
                <w:vertAlign w:val="baseline"/>
              </w:rPr>
              <w:t>Contributors/detractors</w:t>
            </w:r>
          </w:p>
        </w:tc>
        <w:tc>
          <w:tcPr>
            <w:tcW w:w="360" w:type="dxa"/>
            <w:shd w:val="clear" w:color="auto" w:fill="auto"/>
          </w:tcPr>
          <w:p w:rsidR="00A77B3E">
            <w:pPr>
              <w:pStyle w:val="mqger"/>
              <w:jc w:val="left"/>
            </w:pPr>
            <w:r>
              <w:rPr>
                <w:b/>
                <w:i w:val="0"/>
                <w:noProof w:val="0"/>
                <w:u w:val="none"/>
                <w:vertAlign w:val="baseline"/>
              </w:rPr>
              <w:t>Contributors/detractors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r>
          </w:p>
        </w:tc>
      </w:tr>
      <w:tr>
        <w:tblPrEx>
          <w:tblW w:w="5000" w:type="pct"/>
          <w:tblCellMar>
            <w:left w:w="108" w:type="dxa"/>
            <w:right w:w="108" w:type="dxa"/>
          </w:tblCellMar>
        </w:tblPrEx>
        <w:tc>
          <w:tcPr>
            <w:tcW w:w="360" w:type="dxa"/>
            <w:shd w:val="clear" w:color="auto" w:fill="F2F2F2"/>
          </w:tcPr>
          <w:p w:rsidR="00A77B3E">
            <w:pPr>
              <w:jc w:val="left"/>
            </w:pPr>
            <w:r>
              <w:rPr>
                <w:noProof/>
                <w:sz w:val="16"/>
              </w:rPr>
              <w:t>32</w:t>
              <w:br/>
            </w:r>
            <w:r>
              <w:rPr>
                <w:noProof/>
                <w:sz w:val="2"/>
              </w:rPr>
              <w:t>24e7ba57-d97c-4bde-87f6-c143bc08fb47</w:t>
            </w:r>
          </w:p>
        </w:tc>
        <w:tc>
          <w:tcPr>
            <w:tcW w:w="360" w:type="dxa"/>
            <w:shd w:val="clear" w:color="auto" w:fill="F2F2F2"/>
          </w:tcPr>
          <w:p w:rsidR="00A77B3E">
            <w:pPr>
              <w:pStyle w:val="mqeng"/>
              <w:jc w:val="left"/>
            </w:pPr>
            <w:r>
              <w:rPr>
                <w:noProof/>
              </w:rPr>
              <w:t>Security selection was the key driver of outperformance while sector allocation also contributed positively.</w:t>
            </w:r>
          </w:p>
        </w:tc>
        <w:tc>
          <w:tcPr>
            <w:tcW w:w="360" w:type="dxa"/>
            <w:shd w:val="clear" w:color="auto" w:fill="auto"/>
          </w:tcPr>
          <w:p w:rsidR="00A77B3E">
            <w:pPr>
              <w:pStyle w:val="mqger"/>
              <w:jc w:val="left"/>
            </w:pPr>
            <w:r>
              <w:rPr>
                <w:noProof w:val="0"/>
              </w:rPr>
              <w:t>Die Outperformance des Fonds war vor allem auf die Titelauswahl zurückzuführen, aber auch die Sektorallokation leistete einen positiven Beitrag.</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r>
          </w:p>
        </w:tc>
      </w:tr>
      <w:tr>
        <w:tblPrEx>
          <w:tblW w:w="5000" w:type="pct"/>
          <w:tblCellMar>
            <w:left w:w="108" w:type="dxa"/>
            <w:right w:w="108" w:type="dxa"/>
          </w:tblCellMar>
        </w:tblPrEx>
        <w:tc>
          <w:tcPr>
            <w:tcW w:w="360" w:type="dxa"/>
            <w:shd w:val="clear" w:color="auto" w:fill="F2F2F2"/>
          </w:tcPr>
          <w:p w:rsidR="00A77B3E">
            <w:pPr>
              <w:jc w:val="left"/>
            </w:pPr>
            <w:r>
              <w:rPr>
                <w:noProof/>
                <w:sz w:val="16"/>
              </w:rPr>
              <w:t>33</w:t>
              <w:br/>
            </w:r>
            <w:r>
              <w:rPr>
                <w:noProof/>
                <w:sz w:val="2"/>
              </w:rPr>
              <w:t>d84be7a3-0888-4e37-b165-3291f5f675d4</w:t>
            </w:r>
          </w:p>
        </w:tc>
        <w:tc>
          <w:tcPr>
            <w:tcW w:w="360" w:type="dxa"/>
            <w:shd w:val="clear" w:color="auto" w:fill="F2F2F2"/>
          </w:tcPr>
          <w:p w:rsidR="00A77B3E">
            <w:pPr>
              <w:pStyle w:val="mqeng"/>
              <w:jc w:val="left"/>
            </w:pPr>
            <w:r>
              <w:rPr>
                <w:b/>
                <w:i w:val="0"/>
                <w:noProof/>
                <w:u w:val="none"/>
                <w:vertAlign w:val="baseline"/>
              </w:rPr>
              <w:t>Outlook</w:t>
            </w:r>
          </w:p>
        </w:tc>
        <w:tc>
          <w:tcPr>
            <w:tcW w:w="360" w:type="dxa"/>
            <w:shd w:val="clear" w:color="auto" w:fill="auto"/>
          </w:tcPr>
          <w:p w:rsidR="00A77B3E">
            <w:pPr>
              <w:pStyle w:val="mqger"/>
              <w:jc w:val="left"/>
            </w:pPr>
            <w:r>
              <w:rPr>
                <w:b/>
                <w:i w:val="0"/>
                <w:noProof w:val="0"/>
                <w:u w:val="none"/>
                <w:vertAlign w:val="baseline"/>
              </w:rPr>
              <w:t>Outlook</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r>
          </w:p>
        </w:tc>
      </w:tr>
      <w:tr>
        <w:tblPrEx>
          <w:tblW w:w="5000" w:type="pct"/>
          <w:tblCellMar>
            <w:left w:w="108" w:type="dxa"/>
            <w:right w:w="108" w:type="dxa"/>
          </w:tblCellMar>
        </w:tblPrEx>
        <w:tc>
          <w:tcPr>
            <w:tcW w:w="360" w:type="dxa"/>
            <w:shd w:val="clear" w:color="auto" w:fill="F2F2F2"/>
          </w:tcPr>
          <w:p w:rsidR="00A77B3E">
            <w:pPr>
              <w:jc w:val="left"/>
            </w:pPr>
            <w:r>
              <w:rPr>
                <w:noProof/>
                <w:sz w:val="16"/>
              </w:rPr>
              <w:t>34</w:t>
              <w:br/>
            </w:r>
            <w:r>
              <w:rPr>
                <w:noProof/>
                <w:sz w:val="2"/>
              </w:rPr>
              <w:t>7a6f49bf-b305-4b9a-b0c8-b5048644c453</w:t>
            </w:r>
          </w:p>
        </w:tc>
        <w:tc>
          <w:tcPr>
            <w:tcW w:w="360" w:type="dxa"/>
            <w:shd w:val="clear" w:color="auto" w:fill="F2F2F2"/>
          </w:tcPr>
          <w:p w:rsidR="00A77B3E">
            <w:pPr>
              <w:pStyle w:val="mqeng"/>
              <w:jc w:val="left"/>
            </w:pPr>
            <w:r>
              <w:rPr>
                <w:noProof/>
              </w:rPr>
              <w:t>Given the binary outlook, we remain cautious about adding risk and remain focused on selecting companies with strong fundamentals and what we see as attractive valuations.</w:t>
            </w:r>
          </w:p>
        </w:tc>
        <w:tc>
          <w:tcPr>
            <w:tcW w:w="360" w:type="dxa"/>
            <w:shd w:val="clear" w:color="auto" w:fill="auto"/>
          </w:tcPr>
          <w:p w:rsidR="00A77B3E">
            <w:pPr>
              <w:pStyle w:val="mqger"/>
              <w:jc w:val="left"/>
            </w:pPr>
            <w:r>
              <w:rPr>
                <w:noProof w:val="0"/>
              </w:rPr>
              <w:t>Angesichts des unsicheren Ausblicks bleiben wir vorsichtig beim Eingehen von Risiken und konzentrieren uns weiter auf Unternehmen mit starken Fundamentaldaten und unserer Meinung nach attraktiven Bewertungen.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r>
          </w:p>
        </w:tc>
      </w:tr>
      <w:tr>
        <w:tblPrEx>
          <w:tblW w:w="5000" w:type="pct"/>
          <w:tblCellMar>
            <w:left w:w="108" w:type="dxa"/>
            <w:right w:w="108" w:type="dxa"/>
          </w:tblCellMar>
        </w:tblPrEx>
        <w:tc>
          <w:tcPr>
            <w:tcW w:w="360" w:type="dxa"/>
            <w:shd w:val="clear" w:color="auto" w:fill="F2F2F2"/>
          </w:tcPr>
          <w:p w:rsidR="00A77B3E">
            <w:pPr>
              <w:jc w:val="left"/>
            </w:pPr>
            <w:r>
              <w:rPr>
                <w:noProof/>
                <w:sz w:val="16"/>
              </w:rPr>
              <w:t>35</w:t>
              <w:br/>
            </w:r>
            <w:r>
              <w:rPr>
                <w:noProof/>
                <w:sz w:val="2"/>
              </w:rPr>
              <w:t>d30d7772-92f8-4209-b312-b6d4336adc5d</w:t>
            </w:r>
          </w:p>
        </w:tc>
        <w:tc>
          <w:tcPr>
            <w:tcW w:w="360" w:type="dxa"/>
            <w:shd w:val="clear" w:color="auto" w:fill="F2F2F2"/>
          </w:tcPr>
          <w:p w:rsidR="00A77B3E">
            <w:pPr>
              <w:pStyle w:val="mqeng"/>
              <w:jc w:val="left"/>
            </w:pPr>
            <w:r>
              <w:rPr>
                <w:b/>
                <w:i w:val="0"/>
                <w:noProof/>
                <w:u w:val="none"/>
                <w:vertAlign w:val="baseline"/>
              </w:rPr>
              <w:t>Manager outlook</w:t>
            </w:r>
          </w:p>
        </w:tc>
        <w:tc>
          <w:tcPr>
            <w:tcW w:w="360" w:type="dxa"/>
            <w:shd w:val="clear" w:color="auto" w:fill="auto"/>
          </w:tcPr>
          <w:p w:rsidR="00A77B3E">
            <w:pPr>
              <w:pStyle w:val="mqger"/>
              <w:jc w:val="left"/>
            </w:pPr>
            <w:r>
              <w:rPr>
                <w:b/>
                <w:i w:val="0"/>
                <w:noProof w:val="0"/>
                <w:u w:val="none"/>
                <w:vertAlign w:val="baseline"/>
              </w:rPr>
              <w:t>Manager outlook</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r>
          </w:p>
        </w:tc>
      </w:tr>
      <w:tr>
        <w:tblPrEx>
          <w:tblW w:w="5000" w:type="pct"/>
          <w:tblCellMar>
            <w:left w:w="108" w:type="dxa"/>
            <w:right w:w="108" w:type="dxa"/>
          </w:tblCellMar>
        </w:tblPrEx>
        <w:tc>
          <w:tcPr>
            <w:tcW w:w="360" w:type="dxa"/>
            <w:shd w:val="clear" w:color="auto" w:fill="F2F2F2"/>
          </w:tcPr>
          <w:p w:rsidR="00A77B3E">
            <w:pPr>
              <w:jc w:val="left"/>
            </w:pPr>
            <w:r>
              <w:rPr>
                <w:noProof/>
                <w:sz w:val="16"/>
              </w:rPr>
              <w:t>36</w:t>
              <w:br/>
            </w:r>
            <w:r>
              <w:rPr>
                <w:noProof/>
                <w:sz w:val="2"/>
              </w:rPr>
              <w:t>57c84aae-9a16-41d4-bd0b-6f8a18ae5805</w:t>
            </w:r>
          </w:p>
        </w:tc>
        <w:tc>
          <w:tcPr>
            <w:tcW w:w="360" w:type="dxa"/>
            <w:shd w:val="clear" w:color="auto" w:fill="F2F2F2"/>
          </w:tcPr>
          <w:p w:rsidR="00A77B3E">
            <w:pPr>
              <w:pStyle w:val="mqeng"/>
              <w:jc w:val="left"/>
            </w:pPr>
            <w:r>
              <w:rPr>
                <w:noProof/>
              </w:rPr>
              <w:t>We maintained the fund's small overweight position to credit spread risk relative to the index.</w:t>
            </w:r>
          </w:p>
        </w:tc>
        <w:tc>
          <w:tcPr>
            <w:tcW w:w="360" w:type="dxa"/>
            <w:shd w:val="clear" w:color="auto" w:fill="auto"/>
          </w:tcPr>
          <w:p w:rsidR="00A77B3E">
            <w:pPr>
              <w:pStyle w:val="mqger"/>
              <w:jc w:val="left"/>
            </w:pPr>
            <w:r>
              <w:rPr>
                <w:noProof w:val="0"/>
              </w:rPr>
              <w:t>Wir behielten die leichte Übergewichtung des Fonds von Unternehmensanleihen im Vergleich zum Referenzindex bei.</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r>
          </w:p>
        </w:tc>
      </w:tr>
      <w:tr>
        <w:tblPrEx>
          <w:tblW w:w="5000" w:type="pct"/>
          <w:tblCellMar>
            <w:left w:w="108" w:type="dxa"/>
            <w:right w:w="108" w:type="dxa"/>
          </w:tblCellMar>
        </w:tblPrEx>
        <w:tc>
          <w:tcPr>
            <w:tcW w:w="360" w:type="dxa"/>
            <w:shd w:val="clear" w:color="auto" w:fill="F2F2F2"/>
          </w:tcPr>
          <w:p w:rsidR="00A77B3E">
            <w:pPr>
              <w:jc w:val="left"/>
            </w:pPr>
            <w:r>
              <w:rPr>
                <w:noProof/>
                <w:sz w:val="16"/>
              </w:rPr>
              <w:t>37</w:t>
              <w:br/>
            </w:r>
            <w:r>
              <w:rPr>
                <w:noProof/>
                <w:sz w:val="2"/>
              </w:rPr>
              <w:t>b449f55c-3ef1-4e1e-a7fa-e089e309cc9e</w:t>
            </w:r>
          </w:p>
        </w:tc>
        <w:tc>
          <w:tcPr>
            <w:tcW w:w="360" w:type="dxa"/>
            <w:shd w:val="clear" w:color="auto" w:fill="F2F2F2"/>
          </w:tcPr>
          <w:p w:rsidR="00A77B3E">
            <w:pPr>
              <w:pStyle w:val="mqeng"/>
              <w:jc w:val="left"/>
            </w:pPr>
            <w:r>
              <w:rPr>
                <w:noProof/>
              </w:rPr>
              <w:t>Markets reacted swiftly to the prospect of a later start to the Fed's rate-cutting cycle and although this does not change our outlook for the year, it highlights the rates volatility we can expect as investors adjust expectations.</w:t>
            </w:r>
          </w:p>
        </w:tc>
        <w:tc>
          <w:tcPr>
            <w:tcW w:w="360" w:type="dxa"/>
            <w:shd w:val="clear" w:color="auto" w:fill="auto"/>
          </w:tcPr>
          <w:p w:rsidR="00A77B3E">
            <w:pPr>
              <w:pStyle w:val="mqger"/>
              <w:jc w:val="left"/>
            </w:pPr>
            <w:r>
              <w:rPr>
                <w:noProof w:val="0"/>
              </w:rPr>
              <w:t>Die Märkte reagierten rasch auf den möglicherweise späteren Beginn des Lockerungszyklus der Fed. Dies ändert zwar nichts an unserem Ausblick für 2024, verdeutlicht aber, mit welcher Volatilität an den Zinsmärkten zu rechnen ist, wenn Anleger ihre Erwartungen anpassen.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r>
          </w:p>
        </w:tc>
      </w:tr>
      <w:tr>
        <w:tblPrEx>
          <w:tblW w:w="5000" w:type="pct"/>
          <w:tblCellMar>
            <w:left w:w="108" w:type="dxa"/>
            <w:right w:w="108" w:type="dxa"/>
          </w:tblCellMar>
        </w:tblPrEx>
        <w:tc>
          <w:tcPr>
            <w:tcW w:w="360" w:type="dxa"/>
            <w:shd w:val="clear" w:color="auto" w:fill="F2F2F2"/>
          </w:tcPr>
          <w:p w:rsidR="00A77B3E">
            <w:pPr>
              <w:jc w:val="left"/>
            </w:pPr>
            <w:r>
              <w:rPr>
                <w:noProof/>
                <w:sz w:val="16"/>
              </w:rPr>
              <w:t>38</w:t>
              <w:br/>
            </w:r>
            <w:r>
              <w:rPr>
                <w:noProof/>
                <w:sz w:val="2"/>
              </w:rPr>
              <w:t>3fa8a208-7994-4319-bdea-981f9cf21e23</w:t>
            </w:r>
          </w:p>
        </w:tc>
        <w:tc>
          <w:tcPr>
            <w:tcW w:w="360" w:type="dxa"/>
            <w:shd w:val="clear" w:color="auto" w:fill="F2F2F2"/>
          </w:tcPr>
          <w:p w:rsidR="00A77B3E">
            <w:pPr>
              <w:pStyle w:val="mqeng"/>
              <w:jc w:val="left"/>
            </w:pPr>
            <w:r>
              <w:rPr>
                <w:noProof/>
              </w:rPr>
              <w:t>We expect this volatility to spill over into high yield spreads and see two potential scenarios playing out: a near-term spread bear market caused by anything that reignites inflationary concerns, or a temporary re-acceleration of growth that leads to central banks pushing back rate cuts.</w:t>
            </w:r>
          </w:p>
        </w:tc>
        <w:tc>
          <w:tcPr>
            <w:tcW w:w="360" w:type="dxa"/>
            <w:shd w:val="clear" w:color="auto" w:fill="auto"/>
          </w:tcPr>
          <w:p w:rsidR="00A77B3E">
            <w:pPr>
              <w:pStyle w:val="mqger"/>
              <w:jc w:val="left"/>
            </w:pPr>
            <w:r>
              <w:rPr>
                <w:noProof w:val="0"/>
              </w:rPr>
              <w:t>Diese Volatilität dürfte sich auch auf die Spreads von Hochzinsanleihen auswirken. Wir sehen zwei mögliche Szenarien: einen kurzfristigen Bärenmarkt, ausgelöst von allem, was die Inflationssorgen wieder aufflammen lässt, oder eine vorübergehende Wachstumsbeschleunigung, die die Zentralbanken dazu veranlasst, mit Zinssenkungen noch zu warten.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r>
          </w:p>
        </w:tc>
      </w:tr>
      <w:tr>
        <w:tblPrEx>
          <w:tblW w:w="5000" w:type="pct"/>
          <w:tblCellMar>
            <w:left w:w="108" w:type="dxa"/>
            <w:right w:w="108" w:type="dxa"/>
          </w:tblCellMar>
        </w:tblPrEx>
        <w:tc>
          <w:tcPr>
            <w:tcW w:w="360" w:type="dxa"/>
            <w:shd w:val="clear" w:color="auto" w:fill="F2F2F2"/>
          </w:tcPr>
          <w:p w:rsidR="00A77B3E">
            <w:pPr>
              <w:jc w:val="left"/>
            </w:pPr>
            <w:r>
              <w:rPr>
                <w:noProof/>
                <w:sz w:val="16"/>
              </w:rPr>
              <w:t>39</w:t>
              <w:br/>
            </w:r>
            <w:r>
              <w:rPr>
                <w:noProof/>
                <w:sz w:val="2"/>
              </w:rPr>
              <w:t>3d65db75-1276-46e4-92d5-47f007099a6e</w:t>
            </w:r>
          </w:p>
        </w:tc>
        <w:tc>
          <w:tcPr>
            <w:tcW w:w="360" w:type="dxa"/>
            <w:shd w:val="clear" w:color="auto" w:fill="F2F2F2"/>
          </w:tcPr>
          <w:p w:rsidR="00A77B3E">
            <w:pPr>
              <w:pStyle w:val="mqeng"/>
              <w:jc w:val="left"/>
            </w:pPr>
            <w:r>
              <w:rPr>
                <w:noProof/>
              </w:rPr>
              <w:t>A steady spread bull market could happen if it becomes clear that inflation is firmly defeated.</w:t>
            </w:r>
          </w:p>
        </w:tc>
        <w:tc>
          <w:tcPr>
            <w:tcW w:w="360" w:type="dxa"/>
            <w:shd w:val="clear" w:color="auto" w:fill="auto"/>
          </w:tcPr>
          <w:p w:rsidR="00A77B3E">
            <w:pPr>
              <w:pStyle w:val="mqger"/>
              <w:jc w:val="left"/>
            </w:pPr>
            <w:r>
              <w:rPr>
                <w:noProof w:val="0"/>
              </w:rPr>
              <w:t>Sollte sich abzeichnen, dass die Inflation unter Kontrolle ist, könnte das die Weichen für einen Bullenmarkt stellen.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r>
          </w:p>
        </w:tc>
      </w:tr>
      <w:tr>
        <w:tblPrEx>
          <w:tblW w:w="5000" w:type="pct"/>
          <w:tblCellMar>
            <w:left w:w="108" w:type="dxa"/>
            <w:right w:w="108" w:type="dxa"/>
          </w:tblCellMar>
        </w:tblPrEx>
        <w:tc>
          <w:tcPr>
            <w:tcW w:w="360" w:type="dxa"/>
            <w:shd w:val="clear" w:color="auto" w:fill="F2F2F2"/>
          </w:tcPr>
          <w:p w:rsidR="00A77B3E">
            <w:pPr>
              <w:jc w:val="left"/>
            </w:pPr>
            <w:r>
              <w:rPr>
                <w:noProof/>
                <w:sz w:val="16"/>
              </w:rPr>
              <w:t>40</w:t>
              <w:br/>
            </w:r>
            <w:r>
              <w:rPr>
                <w:noProof/>
                <w:sz w:val="2"/>
              </w:rPr>
              <w:t>941df056-19f7-41ed-b644-b4f0f65efd10</w:t>
            </w:r>
          </w:p>
        </w:tc>
        <w:tc>
          <w:tcPr>
            <w:tcW w:w="360" w:type="dxa"/>
            <w:shd w:val="clear" w:color="auto" w:fill="F2F2F2"/>
          </w:tcPr>
          <w:p w:rsidR="00A77B3E">
            <w:pPr>
              <w:pStyle w:val="mqeng"/>
              <w:jc w:val="left"/>
            </w:pPr>
            <w:r>
              <w:rPr>
                <w:noProof/>
              </w:rPr>
              <w:t>Central banks embark on rate cuts to prevent real rates becoming too restrictive, which benefits spread assets.</w:t>
            </w:r>
          </w:p>
        </w:tc>
        <w:tc>
          <w:tcPr>
            <w:tcW w:w="360" w:type="dxa"/>
            <w:shd w:val="clear" w:color="auto" w:fill="auto"/>
          </w:tcPr>
          <w:p w:rsidR="00A77B3E">
            <w:pPr>
              <w:pStyle w:val="mqger"/>
              <w:jc w:val="left"/>
            </w:pPr>
            <w:r>
              <w:rPr>
                <w:noProof w:val="0"/>
              </w:rPr>
              <w:t>In einem solchen Umfeld würden die Zentralbanken damit beginnen, die Zinsen zu senken, damit die Realzinsen nicht zu restriktiv werden, was wiederum Spread-Produkten zugutekäme.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r>
          </w:p>
        </w:tc>
      </w:tr>
      <w:tr>
        <w:tblPrEx>
          <w:tblW w:w="5000" w:type="pct"/>
          <w:tblCellMar>
            <w:left w:w="108" w:type="dxa"/>
            <w:right w:w="108" w:type="dxa"/>
          </w:tblCellMar>
        </w:tblPrEx>
        <w:tc>
          <w:tcPr>
            <w:tcW w:w="360" w:type="dxa"/>
            <w:shd w:val="clear" w:color="auto" w:fill="F2F2F2"/>
          </w:tcPr>
          <w:p w:rsidR="00A77B3E">
            <w:pPr>
              <w:jc w:val="left"/>
            </w:pPr>
            <w:r>
              <w:rPr>
                <w:noProof/>
                <w:sz w:val="16"/>
              </w:rPr>
              <w:t>41</w:t>
              <w:br/>
            </w:r>
            <w:r>
              <w:rPr>
                <w:noProof/>
                <w:sz w:val="2"/>
              </w:rPr>
              <w:t>903333c0-459f-414d-9655-dcd6f104da95</w:t>
            </w:r>
          </w:p>
        </w:tc>
        <w:tc>
          <w:tcPr>
            <w:tcW w:w="360" w:type="dxa"/>
            <w:shd w:val="clear" w:color="auto" w:fill="F2F2F2"/>
          </w:tcPr>
          <w:p w:rsidR="00A77B3E">
            <w:pPr>
              <w:pStyle w:val="mqeng"/>
              <w:jc w:val="left"/>
            </w:pPr>
            <w:r>
              <w:rPr>
                <w:noProof/>
              </w:rPr>
              <w:t>Given the binary outlook, we remain cautious about adding risk and remain focus on selecting companies with strong fundamentals and attractive valuations.</w:t>
            </w:r>
          </w:p>
        </w:tc>
        <w:tc>
          <w:tcPr>
            <w:tcW w:w="360" w:type="dxa"/>
            <w:shd w:val="clear" w:color="auto" w:fill="auto"/>
          </w:tcPr>
          <w:p w:rsidR="00A77B3E">
            <w:pPr>
              <w:pStyle w:val="mqger"/>
              <w:jc w:val="left"/>
            </w:pPr>
            <w:r>
              <w:rPr>
                <w:noProof w:val="0"/>
              </w:rPr>
              <w:t>Angesichts des unsicheren Ausblicks bleiben wir vorsichtig beim Eingehen von Risiken und konzentrieren uns weiterhin auf Unternehmen mit starken Fundamentaldaten und attraktiven Bewertungen.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(83%)</w:t>
            </w:r>
          </w:p>
        </w:tc>
      </w:tr>
      <w:tr>
        <w:tblPrEx>
          <w:tblW w:w="5000" w:type="pct"/>
          <w:tblCellMar>
            <w:left w:w="108" w:type="dxa"/>
            <w:right w:w="108" w:type="dxa"/>
          </w:tblCellMar>
        </w:tblPrEx>
        <w:tc>
          <w:tcPr>
            <w:tcW w:w="360" w:type="dxa"/>
            <w:shd w:val="clear" w:color="auto" w:fill="F2F2F2"/>
          </w:tcPr>
          <w:p w:rsidR="00A77B3E">
            <w:pPr>
              <w:jc w:val="left"/>
            </w:pPr>
            <w:r>
              <w:rPr>
                <w:noProof/>
                <w:sz w:val="16"/>
              </w:rPr>
              <w:t>42</w:t>
              <w:br/>
            </w:r>
            <w:r>
              <w:rPr>
                <w:noProof/>
                <w:sz w:val="2"/>
              </w:rPr>
              <w:t>61fbc96d-2d07-4bb4-b24b-df5abe4ddafe</w:t>
            </w:r>
          </w:p>
        </w:tc>
        <w:tc>
          <w:tcPr>
            <w:tcW w:w="360" w:type="dxa"/>
            <w:shd w:val="clear" w:color="auto" w:fill="F2F2F2"/>
          </w:tcPr>
          <w:p w:rsidR="00A77B3E">
            <w:pPr>
              <w:pStyle w:val="mqeng"/>
              <w:jc w:val="left"/>
            </w:pPr>
            <w:r>
              <w:rPr>
                <w:noProof/>
              </w:rPr>
              <w:t>Despite the increase in supply we saw in January, demand remained strong.</w:t>
            </w:r>
          </w:p>
        </w:tc>
        <w:tc>
          <w:tcPr>
            <w:tcW w:w="360" w:type="dxa"/>
            <w:shd w:val="clear" w:color="auto" w:fill="auto"/>
          </w:tcPr>
          <w:p w:rsidR="00A77B3E">
            <w:pPr>
              <w:pStyle w:val="mqger"/>
              <w:jc w:val="left"/>
            </w:pPr>
            <w:r>
              <w:rPr>
                <w:noProof w:val="0"/>
              </w:rPr>
              <w:t>Mit dem im Januar gestiegenen Angebot hielt die Nachfrage Schritt, die unvermindert stark ausfiel.</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r>
          </w:p>
        </w:tc>
      </w:tr>
      <w:tr>
        <w:tblPrEx>
          <w:tblW w:w="5000" w:type="pct"/>
          <w:tblCellMar>
            <w:left w:w="108" w:type="dxa"/>
            <w:right w:w="108" w:type="dxa"/>
          </w:tblCellMar>
        </w:tblPrEx>
        <w:tc>
          <w:tcPr>
            <w:tcW w:w="360" w:type="dxa"/>
            <w:shd w:val="clear" w:color="auto" w:fill="F2F2F2"/>
          </w:tcPr>
          <w:p w:rsidR="00A77B3E">
            <w:pPr>
              <w:jc w:val="left"/>
            </w:pPr>
            <w:r>
              <w:rPr>
                <w:noProof/>
                <w:sz w:val="16"/>
              </w:rPr>
              <w:t>43</w:t>
              <w:br/>
            </w:r>
            <w:r>
              <w:rPr>
                <w:noProof/>
                <w:sz w:val="2"/>
              </w:rPr>
              <w:t>d4e34fe5-916e-42b6-a171-52e1ed213b71</w:t>
            </w:r>
          </w:p>
        </w:tc>
        <w:tc>
          <w:tcPr>
            <w:tcW w:w="360" w:type="dxa"/>
            <w:shd w:val="clear" w:color="auto" w:fill="F2F2F2"/>
          </w:tcPr>
          <w:p w:rsidR="00A77B3E">
            <w:pPr>
              <w:pStyle w:val="mqeng"/>
              <w:jc w:val="left"/>
            </w:pPr>
            <w:r>
              <w:rPr>
                <w:noProof/>
              </w:rPr>
              <w:t>This continues to be a positive technical for the asset class.</w:t>
            </w:r>
          </w:p>
        </w:tc>
        <w:tc>
          <w:tcPr>
            <w:tcW w:w="360" w:type="dxa"/>
            <w:shd w:val="clear" w:color="auto" w:fill="auto"/>
          </w:tcPr>
          <w:p w:rsidR="00A77B3E">
            <w:pPr>
              <w:pStyle w:val="mqger"/>
              <w:jc w:val="left"/>
            </w:pPr>
            <w:r>
              <w:rPr>
                <w:noProof w:val="0"/>
              </w:rPr>
              <w:t>Für die Anlageklasse bleibt dies ein positiver markttechnischer Faktor.</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r>
          </w:p>
        </w:tc>
      </w:tr>
      <w:tr>
        <w:tblPrEx>
          <w:tblW w:w="5000" w:type="pct"/>
          <w:tblCellMar>
            <w:left w:w="108" w:type="dxa"/>
            <w:right w:w="108" w:type="dxa"/>
          </w:tblCellMar>
        </w:tblPrEx>
        <w:tc>
          <w:tcPr>
            <w:tcW w:w="360" w:type="dxa"/>
            <w:shd w:val="clear" w:color="auto" w:fill="F2F2F2"/>
          </w:tcPr>
          <w:p w:rsidR="00A77B3E">
            <w:pPr>
              <w:jc w:val="left"/>
            </w:pPr>
            <w:r>
              <w:rPr>
                <w:noProof/>
                <w:sz w:val="16"/>
              </w:rPr>
              <w:t>44</w:t>
              <w:br/>
            </w:r>
            <w:r>
              <w:rPr>
                <w:noProof/>
                <w:sz w:val="2"/>
              </w:rPr>
              <w:t>aee8428b-1fc9-40a3-8421-7e06f8e41564</w:t>
            </w:r>
          </w:p>
        </w:tc>
        <w:tc>
          <w:tcPr>
            <w:tcW w:w="360" w:type="dxa"/>
            <w:shd w:val="clear" w:color="auto" w:fill="F2F2F2"/>
          </w:tcPr>
          <w:p w:rsidR="00A77B3E">
            <w:pPr>
              <w:pStyle w:val="mqeng"/>
              <w:jc w:val="left"/>
            </w:pPr>
            <w:r>
              <w:rPr>
                <w:noProof/>
              </w:rPr>
              <w:t>However, as we navigate interest rate cuts expectations and an approaching maturity wall, we remain cautious on the companies with increasing leverage and lower interest rate coverage ratios but positive on companies that continue to have reasonably good interest cover ratios and strong free cash flow measures.</w:t>
            </w:r>
          </w:p>
        </w:tc>
        <w:tc>
          <w:tcPr>
            <w:tcW w:w="360" w:type="dxa"/>
            <w:shd w:val="clear" w:color="auto" w:fill="auto"/>
          </w:tcPr>
          <w:p w:rsidR="00A77B3E">
            <w:pPr>
              <w:pStyle w:val="mqger"/>
              <w:jc w:val="left"/>
            </w:pPr>
            <w:r>
              <w:rPr>
                <w:noProof w:val="0"/>
              </w:rPr>
              <w:t>Wegen der Zinssenkungserwartungen und der näher rückenden Fälligkeitsmauer bleiben wir jedoch gegenüber Unternehmen mit zunehmender Verschuldung und niedrigerer Zinsdeckungsquote zurückhaltend, während wir solche mit nach wie vor relativ guter Quote und starkem freien Cashflow attraktiv finden.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r>
          </w:p>
        </w:tc>
      </w:tr>
      <w:tr>
        <w:tblPrEx>
          <w:tblW w:w="5000" w:type="pct"/>
          <w:tblCellMar>
            <w:left w:w="108" w:type="dxa"/>
            <w:right w:w="108" w:type="dxa"/>
          </w:tblCellMar>
        </w:tblPrEx>
        <w:tc>
          <w:tcPr>
            <w:tcW w:w="360" w:type="dxa"/>
            <w:shd w:val="clear" w:color="auto" w:fill="F2F2F2"/>
          </w:tcPr>
          <w:p w:rsidR="00A77B3E">
            <w:pPr>
              <w:jc w:val="left"/>
            </w:pPr>
            <w:r>
              <w:rPr>
                <w:noProof/>
                <w:sz w:val="16"/>
              </w:rPr>
              <w:t>45</w:t>
              <w:br/>
            </w:r>
            <w:r>
              <w:rPr>
                <w:noProof/>
                <w:sz w:val="2"/>
              </w:rPr>
              <w:t>bee7109b-f2f5-4d3c-9aad-f7ade782e8be</w:t>
            </w:r>
          </w:p>
        </w:tc>
        <w:tc>
          <w:tcPr>
            <w:tcW w:w="360" w:type="dxa"/>
            <w:shd w:val="clear" w:color="auto" w:fill="F2F2F2"/>
          </w:tcPr>
          <w:p w:rsidR="00A77B3E">
            <w:pPr>
              <w:pStyle w:val="mqeng"/>
              <w:jc w:val="left"/>
            </w:pPr>
            <w:r>
              <w:rPr>
                <w:noProof/>
              </w:rPr>
              <w:t>The deterioration in credit ratios is mild.</w:t>
            </w:r>
          </w:p>
        </w:tc>
        <w:tc>
          <w:tcPr>
            <w:tcW w:w="360" w:type="dxa"/>
            <w:shd w:val="clear" w:color="auto" w:fill="auto"/>
          </w:tcPr>
          <w:p w:rsidR="00A77B3E">
            <w:pPr>
              <w:pStyle w:val="mqger"/>
              <w:jc w:val="left"/>
            </w:pPr>
            <w:r>
              <w:rPr>
                <w:noProof w:val="0"/>
              </w:rPr>
              <w:t>Die Kreditkennzahlen haben sich unterdessen kaum verschlechtert.</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r>
          </w:p>
        </w:tc>
      </w:tr>
      <w:tr>
        <w:tblPrEx>
          <w:tblW w:w="5000" w:type="pct"/>
          <w:tblCellMar>
            <w:left w:w="108" w:type="dxa"/>
            <w:right w:w="108" w:type="dxa"/>
          </w:tblCellMar>
        </w:tblPrEx>
        <w:tc>
          <w:tcPr>
            <w:tcW w:w="360" w:type="dxa"/>
            <w:shd w:val="clear" w:color="auto" w:fill="F2F2F2"/>
          </w:tcPr>
          <w:p w:rsidR="00A77B3E">
            <w:pPr>
              <w:jc w:val="left"/>
            </w:pPr>
            <w:r>
              <w:rPr>
                <w:noProof/>
                <w:sz w:val="16"/>
              </w:rPr>
              <w:t>46</w:t>
              <w:br/>
            </w:r>
            <w:r>
              <w:rPr>
                <w:noProof/>
                <w:sz w:val="2"/>
              </w:rPr>
              <w:t>f9d55413-98a2-4c47-b6b0-e34b99ca5d01</w:t>
            </w:r>
          </w:p>
        </w:tc>
        <w:tc>
          <w:tcPr>
            <w:tcW w:w="360" w:type="dxa"/>
            <w:shd w:val="clear" w:color="auto" w:fill="F2F2F2"/>
          </w:tcPr>
          <w:p w:rsidR="00A77B3E">
            <w:pPr>
              <w:pStyle w:val="mqeng"/>
              <w:jc w:val="left"/>
            </w:pPr>
            <w:r>
              <w:rPr>
                <w:noProof/>
              </w:rPr>
              <w:t>However, we believe default rates are likely to peak at relatively low levels, with a slightly higher default rate in the US given it has a lower-quality high yield bond market than Europe.</w:t>
            </w:r>
          </w:p>
        </w:tc>
        <w:tc>
          <w:tcPr>
            <w:tcW w:w="360" w:type="dxa"/>
            <w:shd w:val="clear" w:color="auto" w:fill="auto"/>
          </w:tcPr>
          <w:p w:rsidR="00A77B3E">
            <w:pPr>
              <w:pStyle w:val="mqger"/>
              <w:jc w:val="left"/>
            </w:pPr>
            <w:r>
              <w:rPr>
                <w:noProof w:val="0"/>
              </w:rPr>
              <w:t>Wir erwarten jedoch, dass die Ausfallraten ihren Höchststand auf relativ niedrigem Niveau erreichen werden. Dabei dürften sie in den USA etwas höher ausfallen, da US-Hochzinsanleihen eine geringere Bonität aufweisen als ihre Pendants in Europa.</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(89%)</w:t>
            </w:r>
          </w:p>
        </w:tc>
      </w:tr>
      <w:tr>
        <w:tblPrEx>
          <w:tblW w:w="5000" w:type="pct"/>
          <w:tblCellMar>
            <w:left w:w="108" w:type="dxa"/>
            <w:right w:w="108" w:type="dxa"/>
          </w:tblCellMar>
        </w:tblPrEx>
        <w:tc>
          <w:tcPr>
            <w:tcW w:w="360" w:type="dxa"/>
            <w:shd w:val="clear" w:color="auto" w:fill="F2F2F2"/>
          </w:tcPr>
          <w:p w:rsidR="00A77B3E">
            <w:pPr>
              <w:jc w:val="left"/>
            </w:pPr>
            <w:r>
              <w:rPr>
                <w:noProof/>
                <w:sz w:val="16"/>
              </w:rPr>
              <w:t>47</w:t>
              <w:br/>
            </w:r>
            <w:r>
              <w:rPr>
                <w:noProof/>
                <w:sz w:val="2"/>
              </w:rPr>
              <w:t>839cc2fd-a841-4e6f-a2cf-364950b5b1d7</w:t>
            </w:r>
          </w:p>
        </w:tc>
        <w:tc>
          <w:tcPr>
            <w:tcW w:w="360" w:type="dxa"/>
            <w:shd w:val="clear" w:color="auto" w:fill="F2F2F2"/>
          </w:tcPr>
          <w:p w:rsidR="00A77B3E">
            <w:pPr>
              <w:pStyle w:val="mqeng"/>
              <w:jc w:val="left"/>
            </w:pPr>
            <w:r>
              <w:rPr>
                <w:noProof/>
              </w:rPr>
              <w:t>Distress is concentrated in the real estate, telecommunications, media and pharmaceutical sectors.</w:t>
            </w:r>
          </w:p>
        </w:tc>
        <w:tc>
          <w:tcPr>
            <w:tcW w:w="360" w:type="dxa"/>
            <w:shd w:val="clear" w:color="auto" w:fill="auto"/>
          </w:tcPr>
          <w:p w:rsidR="00A77B3E">
            <w:pPr>
              <w:pStyle w:val="mqger"/>
              <w:jc w:val="left"/>
            </w:pPr>
            <w:r>
              <w:rPr>
                <w:noProof w:val="0"/>
              </w:rPr>
              <w:t>Unternehmen in Schieflage finden sich vor allem in den Sektoren Immobilien, Telekommunikation, Medien und Pharma.</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r>
          </w:p>
        </w:tc>
      </w:tr>
      <w:tr>
        <w:tblPrEx>
          <w:tblW w:w="5000" w:type="pct"/>
          <w:tblCellMar>
            <w:left w:w="108" w:type="dxa"/>
            <w:right w:w="108" w:type="dxa"/>
          </w:tblCellMar>
        </w:tblPrEx>
        <w:tc>
          <w:tcPr>
            <w:tcW w:w="360" w:type="dxa"/>
            <w:shd w:val="clear" w:color="auto" w:fill="F2F2F2"/>
          </w:tcPr>
          <w:p w:rsidR="00A77B3E">
            <w:pPr>
              <w:jc w:val="left"/>
            </w:pPr>
            <w:r>
              <w:rPr>
                <w:noProof/>
                <w:sz w:val="16"/>
              </w:rPr>
              <w:t>48</w:t>
              <w:br/>
            </w:r>
            <w:r>
              <w:rPr>
                <w:noProof/>
                <w:sz w:val="2"/>
              </w:rPr>
              <w:t>a186a1df-222f-4a86-9d7c-f47c15d4485a</w:t>
            </w:r>
          </w:p>
        </w:tc>
        <w:tc>
          <w:tcPr>
            <w:tcW w:w="360" w:type="dxa"/>
            <w:shd w:val="clear" w:color="auto" w:fill="F2F2F2"/>
          </w:tcPr>
          <w:p w:rsidR="00A77B3E">
            <w:pPr>
              <w:pStyle w:val="mqeng"/>
              <w:jc w:val="left"/>
            </w:pPr>
            <w:r>
              <w:rPr>
                <w:noProof/>
              </w:rPr>
              <w:t>Shifting work habits, debt loads and higher financing costs explain the problems in real estate, whereas the media sector has been struggling from weakness in cable operators and a general softening in advertising.</w:t>
            </w:r>
          </w:p>
        </w:tc>
        <w:tc>
          <w:tcPr>
            <w:tcW w:w="360" w:type="dxa"/>
            <w:shd w:val="clear" w:color="auto" w:fill="auto"/>
          </w:tcPr>
          <w:p w:rsidR="00A77B3E">
            <w:pPr>
              <w:pStyle w:val="mqger"/>
              <w:jc w:val="left"/>
            </w:pPr>
            <w:r>
              <w:rPr>
                <w:noProof w:val="0"/>
              </w:rPr>
              <w:t>Veränderte Arbeitsgewohnheiten, eine hohe Schuldenlast und höhere Finanzierungskosten liegen den Problemen im Immobiliensektor zugrunde, während der Mediensektor mit der Schwäche bei Kabelnetzbetreibern und einer allgemeinen Flaute im Werbegeschäft zu kämpfen hat.</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r>
          </w:p>
        </w:tc>
      </w:tr>
      <w:tr>
        <w:tblPrEx>
          <w:tblW w:w="5000" w:type="pct"/>
          <w:tblCellMar>
            <w:left w:w="108" w:type="dxa"/>
            <w:right w:w="108" w:type="dxa"/>
          </w:tblCellMar>
        </w:tblPrEx>
        <w:tc>
          <w:tcPr>
            <w:tcW w:w="360" w:type="dxa"/>
            <w:shd w:val="clear" w:color="auto" w:fill="F2F2F2"/>
          </w:tcPr>
          <w:p w:rsidR="00A77B3E">
            <w:pPr>
              <w:jc w:val="left"/>
            </w:pPr>
            <w:r>
              <w:rPr>
                <w:noProof/>
                <w:sz w:val="16"/>
              </w:rPr>
              <w:t>49</w:t>
              <w:br/>
            </w:r>
            <w:r>
              <w:rPr>
                <w:noProof/>
                <w:sz w:val="2"/>
              </w:rPr>
              <w:t>d3f17a43-c7b5-441d-a5fb-19483ecaeb36</w:t>
            </w:r>
          </w:p>
        </w:tc>
        <w:tc>
          <w:tcPr>
            <w:tcW w:w="360" w:type="dxa"/>
            <w:shd w:val="clear" w:color="auto" w:fill="F2F2F2"/>
          </w:tcPr>
          <w:p w:rsidR="00A77B3E">
            <w:pPr>
              <w:pStyle w:val="mqeng"/>
              <w:jc w:val="left"/>
            </w:pPr>
            <w:r>
              <w:rPr>
                <w:noProof/>
              </w:rPr>
              <w:t>In this macroeconomic and credit environment, where trajectory is uncertain and tail risks significant, we continue to draw on the expertise of our credit research team to select what we see as attractively priced, high-quality issues while also managing upside potential and downside risks in the portfolio.</w:t>
            </w:r>
          </w:p>
        </w:tc>
        <w:tc>
          <w:tcPr>
            <w:tcW w:w="360" w:type="dxa"/>
            <w:shd w:val="clear" w:color="auto" w:fill="auto"/>
          </w:tcPr>
          <w:p w:rsidR="00A77B3E">
            <w:pPr>
              <w:pStyle w:val="mqger"/>
              <w:jc w:val="left"/>
            </w:pPr>
            <w:r>
              <w:rPr>
                <w:noProof w:val="0"/>
              </w:rPr>
              <w:t>In diesem makroökonomischen und kreditwirtschaftlichen Umfeld, dessen Aussichten ungewiss sind und das zahlreiche Risiken birgt, stützen wir uns bei der Auswahl bonitätsstarker Emissionen, die wir für attraktiv bewertet halten, weiterhin auf die Expertise unseres Credit Research. Zugleich sind wir bestrebt, das Aufwärtspotenzial zu nutzen und die Abwärtsrisiken des Portfolios so gering wie möglich zu halten.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(88%)</w:t>
            </w:r>
          </w:p>
        </w:tc>
      </w:tr>
      <w:tr>
        <w:tblPrEx>
          <w:tblW w:w="5000" w:type="pct"/>
          <w:tblCellMar>
            <w:left w:w="108" w:type="dxa"/>
            <w:right w:w="108" w:type="dxa"/>
          </w:tblCellMar>
        </w:tblPrEx>
        <w:tc>
          <w:tcPr>
            <w:tcW w:w="360" w:type="dxa"/>
            <w:shd w:val="clear" w:color="auto" w:fill="F2F2F2"/>
          </w:tcPr>
          <w:p w:rsidR="00A77B3E">
            <w:pPr>
              <w:jc w:val="left"/>
            </w:pPr>
            <w:r>
              <w:rPr>
                <w:noProof/>
                <w:sz w:val="16"/>
              </w:rPr>
              <w:t>50</w:t>
              <w:br/>
            </w:r>
            <w:r>
              <w:rPr>
                <w:noProof/>
                <w:sz w:val="2"/>
              </w:rPr>
              <w:t>6f184feb-7a2d-4cb8-81a0-2b6f43a5586a</w:t>
            </w:r>
          </w:p>
        </w:tc>
        <w:tc>
          <w:tcPr>
            <w:tcW w:w="360" w:type="dxa"/>
            <w:shd w:val="clear" w:color="auto" w:fill="F2F2F2"/>
          </w:tcPr>
          <w:p w:rsidR="00A77B3E">
            <w:pPr>
              <w:pStyle w:val="mqeng"/>
              <w:jc w:val="left"/>
            </w:pPr>
            <w:r>
              <w:rPr>
                <w:noProof/>
              </w:rPr>
              <w:t>We feel a discriminating approach to security selection, combined with nimbleness in adding or removing risk from the portfolio, will be key to delivering attractive risk-adjusted returns.</w:t>
            </w:r>
          </w:p>
        </w:tc>
        <w:tc>
          <w:tcPr>
            <w:tcW w:w="360" w:type="dxa"/>
            <w:shd w:val="clear" w:color="auto" w:fill="auto"/>
          </w:tcPr>
          <w:p w:rsidR="00A77B3E">
            <w:pPr>
              <w:pStyle w:val="mqger"/>
              <w:jc w:val="left"/>
            </w:pPr>
            <w:r>
              <w:rPr>
                <w:noProof w:val="0"/>
              </w:rPr>
              <w:t>Wir glauben, dass ein differenzierter Ansatz bei der Titelauswahl sowie Flexibilität beim Eingehen bzw. Herunterfahren von Risiken entscheidend sind, um attraktive risikobereinigte Renditen zu erzielen.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r>
          </w:p>
        </w:tc>
      </w:tr>
      <w:tr>
        <w:tblPrEx>
          <w:tblW w:w="5000" w:type="pct"/>
          <w:tblCellMar>
            <w:left w:w="108" w:type="dxa"/>
            <w:right w:w="108" w:type="dxa"/>
          </w:tblCellMar>
        </w:tblPrEx>
        <w:tc>
          <w:tcPr>
            <w:tcW w:w="360" w:type="dxa"/>
            <w:shd w:val="clear" w:color="auto" w:fill="F2F2F2"/>
          </w:tcPr>
          <w:p w:rsidR="00A77B3E">
            <w:pPr>
              <w:jc w:val="left"/>
            </w:pPr>
            <w:r>
              <w:rPr>
                <w:noProof/>
                <w:sz w:val="16"/>
              </w:rPr>
              <w:t>51</w:t>
              <w:br/>
            </w:r>
            <w:r>
              <w:rPr>
                <w:noProof/>
                <w:sz w:val="2"/>
              </w:rPr>
              <w:t>7cd919ae-d835-4bd9-bf34-77d7b3378088</w:t>
            </w:r>
          </w:p>
        </w:tc>
        <w:tc>
          <w:tcPr>
            <w:tcW w:w="360" w:type="dxa"/>
            <w:shd w:val="clear" w:color="auto" w:fill="F2F2F2"/>
          </w:tcPr>
          <w:p w:rsidR="00A77B3E">
            <w:pPr>
              <w:pStyle w:val="mqeng"/>
              <w:jc w:val="left"/>
            </w:pPr>
            <w:r>
              <w:rPr>
                <w:noProof/>
              </w:rPr>
              <w:t>Source:</w:t>
            </w:r>
          </w:p>
        </w:tc>
        <w:tc>
          <w:tcPr>
            <w:tcW w:w="360" w:type="dxa"/>
            <w:shd w:val="clear" w:color="auto" w:fill="auto"/>
          </w:tcPr>
          <w:p w:rsidR="00A77B3E">
            <w:pPr>
              <w:pStyle w:val="mqger"/>
              <w:jc w:val="left"/>
            </w:pPr>
            <w:r>
              <w:rPr>
                <w:noProof w:val="0"/>
              </w:rPr>
              <w:t>Quelle: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r>
          </w:p>
        </w:tc>
      </w:tr>
      <w:tr>
        <w:tblPrEx>
          <w:tblW w:w="5000" w:type="pct"/>
          <w:tblCellMar>
            <w:left w:w="108" w:type="dxa"/>
            <w:right w:w="108" w:type="dxa"/>
          </w:tblCellMar>
        </w:tblPrEx>
        <w:tc>
          <w:tcPr>
            <w:tcW w:w="360" w:type="dxa"/>
            <w:shd w:val="clear" w:color="auto" w:fill="F2F2F2"/>
          </w:tcPr>
          <w:p w:rsidR="00A77B3E">
            <w:pPr>
              <w:jc w:val="left"/>
            </w:pPr>
            <w:r>
              <w:rPr>
                <w:noProof/>
                <w:sz w:val="16"/>
              </w:rPr>
              <w:t>52</w:t>
              <w:br/>
            </w:r>
            <w:r>
              <w:rPr>
                <w:noProof/>
                <w:sz w:val="2"/>
              </w:rPr>
              <w:t>2ca759f9-d2d2-4e72-9368-c0cc41effba4</w:t>
            </w:r>
          </w:p>
        </w:tc>
        <w:tc>
          <w:tcPr>
            <w:tcW w:w="360" w:type="dxa"/>
            <w:shd w:val="clear" w:color="auto" w:fill="F2F2F2"/>
          </w:tcPr>
          <w:p w:rsidR="00A77B3E">
            <w:pPr>
              <w:pStyle w:val="mqeng"/>
              <w:jc w:val="left"/>
            </w:pPr>
            <w:r>
              <w:rPr>
                <w:noProof/>
              </w:rPr>
              <w:t>Janus Henderson Investors, as at 31 January 2024</w:t>
            </w:r>
          </w:p>
        </w:tc>
        <w:tc>
          <w:tcPr>
            <w:tcW w:w="360" w:type="dxa"/>
            <w:shd w:val="clear" w:color="auto" w:fill="auto"/>
          </w:tcPr>
          <w:p w:rsidR="00A77B3E">
            <w:pPr>
              <w:pStyle w:val="mqger"/>
              <w:jc w:val="left"/>
            </w:pPr>
            <w:r>
              <w:rPr>
                <w:noProof w:val="0"/>
              </w:rPr>
              <w:t>Janus Henderson Investors; Stand: 31. Januar 2024</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r>
          </w:p>
        </w:tc>
      </w:tr>
    </w:tbl>
    <w:p w:rsidR="00A77B3E"/>
    <w:p w:rsidR="00A77B3E"/>
    <w:sectPr>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720"/>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Tahoma" w:eastAsia="Tahoma" w:hAnsi="Tahoma" w:cs="Tahoma"/>
      <w:sz w:val="20"/>
      <w:szCs w:val="20"/>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mqInternal">
    <w:name w:val="mqInternal"/>
    <w:rPr>
      <w:color w:val="800000"/>
    </w:rPr>
  </w:style>
  <w:style w:type="paragraph" w:customStyle="1" w:styleId="mqger">
    <w:name w:val="mq:ger"/>
    <w:basedOn w:val="Normal"/>
    <w:rPr>
      <w:lang w:val="de-DE" w:eastAsia="de-DE" w:bidi="de-DE"/>
    </w:rPr>
  </w:style>
  <w:style w:type="paragraph" w:customStyle="1" w:styleId="mqeng">
    <w:name w:val="mq:eng"/>
    <w:basedOn w:val="Normal"/>
    <w:rPr>
      <w:lang w:val="gd-GB" w:eastAsia="gd-GB" w:bidi="gd-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fontTable" Target="fontTable.xml"/><Relationship Id="rId7" Type="http://schemas.openxmlformats.org/officeDocument/2006/relationships/customXml" Target="../customXml/item2.xml"/><Relationship Id="rId2" Type="http://schemas.openxmlformats.org/officeDocument/2006/relationships/webSettings" Target="webSettings.xml"/><Relationship Id="rId1" Type="http://schemas.openxmlformats.org/officeDocument/2006/relationships/settings" Target="settings.xml"/><Relationship Id="rId6" Type="http://schemas.openxmlformats.org/officeDocument/2006/relationships/customXml" Target="../customXml/item1.xml"/><Relationship Id="rId5" Type="http://schemas.openxmlformats.org/officeDocument/2006/relationships/styles" Target="styles.xml"/><Relationship Id="rId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9DCF03D63313F4B9E5FAF0CA42A5F40" ma:contentTypeVersion="19" ma:contentTypeDescription="Create a new document." ma:contentTypeScope="" ma:versionID="ad84825f676abcf08bcdb942be82467c">
  <xsd:schema xmlns:xsd="http://www.w3.org/2001/XMLSchema" xmlns:xs="http://www.w3.org/2001/XMLSchema" xmlns:p="http://schemas.microsoft.com/office/2006/metadata/properties" xmlns:ns2="3d880aeb-51c9-45a9-a1f8-31e2d921e8bc" xmlns:ns3="03275443-a1be-471a-a2c8-5dfd7eb405c0" targetNamespace="http://schemas.microsoft.com/office/2006/metadata/properties" ma:root="true" ma:fieldsID="cf9ff27b2947d2f0ce0749925c07ccd6" ns2:_="" ns3:_="">
    <xsd:import namespace="3d880aeb-51c9-45a9-a1f8-31e2d921e8bc"/>
    <xsd:import namespace="03275443-a1be-471a-a2c8-5dfd7eb405c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880aeb-51c9-45a9-a1f8-31e2d921e8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0a23d72-b190-4a68-b8b8-c59ef18e839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3275443-a1be-471a-a2c8-5dfd7eb405c0"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6182ffc3-fb15-4dfe-aca4-e705a0ba018c}" ma:internalName="TaxCatchAll" ma:showField="CatchAllData" ma:web="03275443-a1be-471a-a2c8-5dfd7eb405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d880aeb-51c9-45a9-a1f8-31e2d921e8bc">
      <Terms xmlns="http://schemas.microsoft.com/office/infopath/2007/PartnerControls"/>
    </lcf76f155ced4ddcb4097134ff3c332f>
    <TaxCatchAll xmlns="03275443-a1be-471a-a2c8-5dfd7eb405c0" xsi:nil="true"/>
  </documentManagement>
</p:properties>
</file>

<file path=customXml/itemProps1.xml><?xml version="1.0" encoding="utf-8"?>
<ds:datastoreItem xmlns:ds="http://schemas.openxmlformats.org/officeDocument/2006/customXml" ds:itemID="{5AECE19C-3E11-4162-B805-6689414F52D5}"/>
</file>

<file path=customXml/itemProps2.xml><?xml version="1.0" encoding="utf-8"?>
<ds:datastoreItem xmlns:ds="http://schemas.openxmlformats.org/officeDocument/2006/customXml" ds:itemID="{027D9532-0F9F-4AFD-A123-9E34102626FA}"/>
</file>

<file path=customXml/itemProps3.xml><?xml version="1.0" encoding="utf-8"?>
<ds:datastoreItem xmlns:ds="http://schemas.openxmlformats.org/officeDocument/2006/customXml" ds:itemID="{F0F866A9-5C11-417E-ABC2-EE012E984B63}"/>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asCommentColumn">
    <vt:bool>true</vt:bool>
  </property>
  <property fmtid="{D5CDD505-2E9C-101B-9397-08002B2CF9AE}" pid="3" name="HasStatusColumn">
    <vt:bool>true</vt:bool>
  </property>
  <property fmtid="{D5CDD505-2E9C-101B-9397-08002B2CF9AE}" pid="4" name="HasTwoTargetColumn">
    <vt:bool>false</vt:bool>
  </property>
  <property fmtid="{D5CDD505-2E9C-101B-9397-08002B2CF9AE}" pid="5" name="memoQVersion">
    <vt:lpwstr>11.6.10</vt:lpwstr>
  </property>
  <property fmtid="{D5CDD505-2E9C-101B-9397-08002B2CF9AE}" pid="6" name="ContentTypeId">
    <vt:lpwstr>0x010100B9DCF03D63313F4B9E5FAF0CA42A5F40</vt:lpwstr>
  </property>
</Properties>
</file>