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3.10.0 -->
  <w:body>
    <w:tbl>
      <w:tblPr>
        <w:tblCaption w:val="TableDocxTableTitle"/>
        <w:tblDescription w:val="08e2c795-3a71-4cfc-9de7-694520faa59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70"/>
        <w:gridCol w:w="6032"/>
        <w:gridCol w:w="6032"/>
        <w:gridCol w:w="1217"/>
        <w:gridCol w:w="166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1800" w:type="dxa"/>
            <w:gridSpan w:val="5"/>
            <w:shd w:val="clear" w:color="auto" w:fill="F2F2F2"/>
          </w:tcPr>
          <w:p w:rsidR="00A77B3E">
            <w:pPr>
              <w:jc w:val="center"/>
              <w:rPr>
                <w:b/>
                <w:i w:val="0"/>
                <w:noProof/>
                <w:u w:val="none"/>
                <w:vertAlign w:val="baseline"/>
              </w:rPr>
            </w:pPr>
            <w:r>
              <w:rPr>
                <w:b/>
                <w:i w:val="0"/>
                <w:noProof/>
                <w:u w:val="none"/>
                <w:vertAlign w:val="baseline"/>
              </w:rPr>
              <w:t>4802_HHFGHY_EN_M_31012024.docx</w:t>
            </w:r>
          </w:p>
          <w:p w:rsidR="00A77B3E">
            <w:pPr>
              <w:jc w:val="center"/>
              <w:rPr>
                <w:b/>
                <w:i w:val="0"/>
                <w:noProof/>
                <w:u w:val="none"/>
                <w:vertAlign w:val="baseline"/>
              </w:rPr>
            </w:pPr>
            <w:r>
              <w:rPr>
                <w:b/>
                <w:i w:val="0"/>
                <w:noProof/>
                <w:u w:val="none"/>
                <w:vertAlign w:val="baseline"/>
              </w:rPr>
              <w:t>Important! Don’t change segment ID or source text.</w:t>
            </w:r>
          </w:p>
          <w:p w:rsidR="00A77B3E">
            <w:pPr>
              <w:jc w:val="center"/>
              <w:rPr>
                <w:b/>
                <w:i w:val="0"/>
                <w:noProof/>
                <w:u w:val="none"/>
                <w:vertAlign w:val="baseline"/>
              </w:rPr>
            </w:pPr>
            <w:r>
              <w:rPr>
                <w:b/>
                <w:i w:val="0"/>
                <w:noProof/>
                <w:u w:val="none"/>
                <w:vertAlign w:val="baseline"/>
              </w:rPr>
              <w:t>V11.6.10 08e2c795-3a71-4cfc-9de7-694520faa595</w:t>
            </w:r>
          </w:p>
        </w:tc>
      </w:tr>
      <w:tr>
        <w:tblPrEx>
          <w:tblW w:w="5000" w:type="pct"/>
          <w:tblCellMar>
            <w:left w:w="108" w:type="dxa"/>
            <w:right w:w="108" w:type="dxa"/>
          </w:tblCellMar>
        </w:tblPrEx>
        <w:tc>
          <w:tcPr>
            <w:tcW w:w="660" w:type="dxa"/>
            <w:shd w:val="clear" w:color="auto" w:fill="F2F2F2"/>
          </w:tcPr>
          <w:p w:rsidR="00A77B3E">
            <w:pPr>
              <w:jc w:val="left"/>
              <w:rPr>
                <w:b/>
                <w:i w:val="0"/>
                <w:noProof/>
                <w:u w:val="none"/>
                <w:vertAlign w:val="baseline"/>
              </w:rPr>
            </w:pPr>
            <w:r>
              <w:rPr>
                <w:b/>
                <w:i w:val="0"/>
                <w:noProof/>
                <w:u w:val="none"/>
                <w:vertAlign w:val="baseline"/>
              </w:rPr>
              <w:t>ID</w:t>
            </w:r>
          </w:p>
        </w:tc>
        <w:tc>
          <w:tcPr>
            <w:tcW w:w="5949" w:type="dxa"/>
            <w:shd w:val="clear" w:color="auto" w:fill="F2F2F2"/>
          </w:tcPr>
          <w:p w:rsidR="00A77B3E">
            <w:pPr>
              <w:jc w:val="left"/>
              <w:rPr>
                <w:b/>
                <w:i w:val="0"/>
                <w:noProof/>
                <w:u w:val="none"/>
                <w:vertAlign w:val="baseline"/>
              </w:rPr>
            </w:pPr>
            <w:r>
              <w:rPr>
                <w:b/>
                <w:i w:val="0"/>
                <w:noProof/>
                <w:u w:val="none"/>
                <w:vertAlign w:val="baseline"/>
              </w:rPr>
              <w:t>English</w:t>
            </w:r>
          </w:p>
        </w:tc>
        <w:tc>
          <w:tcPr>
            <w:tcW w:w="5949" w:type="dxa"/>
            <w:shd w:val="clear" w:color="auto" w:fill="F2F2F2"/>
          </w:tcPr>
          <w:p w:rsidR="00A77B3E">
            <w:pPr>
              <w:jc w:val="left"/>
              <w:rPr>
                <w:b/>
                <w:i w:val="0"/>
                <w:noProof/>
                <w:u w:val="none"/>
                <w:vertAlign w:val="baseline"/>
              </w:rPr>
            </w:pPr>
            <w:r>
              <w:rPr>
                <w:b/>
                <w:i w:val="0"/>
                <w:noProof/>
                <w:u w:val="none"/>
                <w:vertAlign w:val="baseline"/>
              </w:rPr>
              <w:t>Spanish</w:t>
            </w:r>
          </w:p>
        </w:tc>
        <w:tc>
          <w:tcPr>
            <w:tcW w:w="1200" w:type="dxa"/>
            <w:shd w:val="clear" w:color="auto" w:fill="F2F2F2"/>
          </w:tcPr>
          <w:p w:rsidR="00A77B3E">
            <w:pPr>
              <w:jc w:val="left"/>
              <w:rPr>
                <w:b/>
                <w:i w:val="0"/>
                <w:noProof/>
                <w:u w:val="none"/>
                <w:vertAlign w:val="baseline"/>
              </w:rPr>
            </w:pPr>
            <w:r>
              <w:rPr>
                <w:b/>
                <w:i w:val="0"/>
                <w:noProof/>
                <w:u w:val="none"/>
                <w:vertAlign w:val="baseline"/>
              </w:rPr>
              <w:t>Comment</w:t>
            </w:r>
          </w:p>
        </w:tc>
        <w:tc>
          <w:tcPr>
            <w:tcW w:w="1640" w:type="dxa"/>
            <w:shd w:val="clear" w:color="auto" w:fill="F2F2F2"/>
          </w:tcPr>
          <w:p w:rsidR="00A77B3E">
            <w:pPr>
              <w:jc w:val="left"/>
            </w:pPr>
            <w:r>
              <w:rPr>
                <w:b/>
                <w:i w:val="0"/>
                <w:noProof/>
                <w:u w:val="none"/>
                <w:vertAlign w:val="baseline"/>
              </w:rPr>
              <w:t>Status</w:t>
            </w:r>
          </w:p>
        </w:tc>
      </w:tr>
      <w:tr>
        <w:tblPrEx>
          <w:tblW w:w="5000" w:type="pct"/>
          <w:tblCellMar>
            <w:left w:w="108" w:type="dxa"/>
            <w:right w:w="108" w:type="dxa"/>
          </w:tblCellMar>
        </w:tblPrEx>
        <w:tc>
          <w:tcPr>
            <w:tcW w:w="360" w:type="dxa"/>
            <w:shd w:val="clear" w:color="auto" w:fill="F2F2F2"/>
          </w:tcPr>
          <w:p w:rsidR="00A77B3E">
            <w:pPr>
              <w:jc w:val="left"/>
            </w:pPr>
            <w:r>
              <w:rPr>
                <w:noProof/>
                <w:sz w:val="16"/>
              </w:rPr>
              <w:t>1</w:t>
              <w:br/>
            </w:r>
            <w:r>
              <w:rPr>
                <w:noProof/>
                <w:sz w:val="2"/>
              </w:rPr>
              <w:t>bd0915ce-2d3d-4fdd-8bb4-5eaf0fe1bc23</w:t>
            </w:r>
          </w:p>
        </w:tc>
        <w:tc>
          <w:tcPr>
            <w:tcW w:w="360" w:type="dxa"/>
            <w:shd w:val="clear" w:color="auto" w:fill="F2F2F2"/>
          </w:tcPr>
          <w:p w:rsidR="00A77B3E">
            <w:pPr>
              <w:pStyle w:val="mqeng"/>
              <w:jc w:val="left"/>
            </w:pPr>
            <w:r>
              <w:rPr>
                <w:b/>
                <w:i w:val="0"/>
                <w:noProof/>
                <w:u w:val="none"/>
                <w:vertAlign w:val="baseline"/>
              </w:rPr>
              <w:t>Investment environment</w:t>
            </w:r>
          </w:p>
        </w:tc>
        <w:tc>
          <w:tcPr>
            <w:tcW w:w="360" w:type="dxa"/>
            <w:shd w:val="clear" w:color="auto" w:fill="auto"/>
          </w:tcPr>
          <w:p w:rsidR="00A77B3E">
            <w:pPr>
              <w:pStyle w:val="mqspa"/>
              <w:jc w:val="left"/>
            </w:pPr>
            <w:r>
              <w:rPr>
                <w:b/>
                <w:i w:val="0"/>
                <w:noProof w:val="0"/>
                <w:u w:val="none"/>
                <w:vertAlign w:val="baseline"/>
              </w:rPr>
              <w:t>Investment environment</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w:t>
              <w:br/>
            </w:r>
            <w:r>
              <w:rPr>
                <w:noProof/>
                <w:sz w:val="2"/>
              </w:rPr>
              <w:t>a2c13db2-bff2-4a5e-94d7-d50dc34d15a9</w:t>
            </w:r>
          </w:p>
        </w:tc>
        <w:tc>
          <w:tcPr>
            <w:tcW w:w="360" w:type="dxa"/>
            <w:shd w:val="clear" w:color="auto" w:fill="F2F2F2"/>
          </w:tcPr>
          <w:p w:rsidR="00A77B3E">
            <w:pPr>
              <w:pStyle w:val="mqeng"/>
              <w:jc w:val="left"/>
            </w:pPr>
            <w:r>
              <w:rPr>
                <w:noProof/>
              </w:rPr>
              <w:t>&amp;#7;Fixed income markets cooled slightly in January following the strong rally at the end of last year, and the global high yield bond market made a small positive return.</w:t>
            </w:r>
          </w:p>
        </w:tc>
        <w:tc>
          <w:tcPr>
            <w:tcW w:w="360" w:type="dxa"/>
            <w:shd w:val="clear" w:color="auto" w:fill="auto"/>
          </w:tcPr>
          <w:p w:rsidR="00A77B3E">
            <w:pPr>
              <w:pStyle w:val="mqspa"/>
              <w:jc w:val="left"/>
            </w:pPr>
            <w:r>
              <w:rPr>
                <w:noProof w:val="0"/>
              </w:rPr>
              <w:t>&amp;#7;los mercados de renta fija se enfriaron ligeramente en enero tras el fuerte repunte a finales del año pasado, y el mercado de bonos high yield globales tuvo una pequeña rentabilidad positiva.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w:t>
              <w:br/>
            </w:r>
            <w:r>
              <w:rPr>
                <w:noProof/>
                <w:sz w:val="2"/>
              </w:rPr>
              <w:t>7a072ab7-c8e8-4182-b424-5b7d01ecd71d</w:t>
            </w:r>
          </w:p>
        </w:tc>
        <w:tc>
          <w:tcPr>
            <w:tcW w:w="360" w:type="dxa"/>
            <w:shd w:val="clear" w:color="auto" w:fill="F2F2F2"/>
          </w:tcPr>
          <w:p w:rsidR="00A77B3E">
            <w:pPr>
              <w:pStyle w:val="mqeng"/>
              <w:jc w:val="left"/>
            </w:pPr>
            <w:r>
              <w:rPr>
                <w:noProof/>
              </w:rPr>
              <w:t>Excess returns were positive.</w:t>
            </w:r>
          </w:p>
        </w:tc>
        <w:tc>
          <w:tcPr>
            <w:tcW w:w="360" w:type="dxa"/>
            <w:shd w:val="clear" w:color="auto" w:fill="auto"/>
          </w:tcPr>
          <w:p w:rsidR="00A77B3E">
            <w:pPr>
              <w:pStyle w:val="mqspa"/>
              <w:jc w:val="left"/>
            </w:pPr>
            <w:r>
              <w:rPr>
                <w:noProof w:val="0"/>
              </w:rPr>
              <w:t>Las rentabilidades superiores fueron positivas.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w:t>
              <w:br/>
            </w:r>
            <w:r>
              <w:rPr>
                <w:noProof/>
                <w:sz w:val="2"/>
              </w:rPr>
              <w:t>61c6c060-fe6f-4199-8dae-8600fda96d10</w:t>
            </w:r>
          </w:p>
        </w:tc>
        <w:tc>
          <w:tcPr>
            <w:tcW w:w="360" w:type="dxa"/>
            <w:shd w:val="clear" w:color="auto" w:fill="F2F2F2"/>
          </w:tcPr>
          <w:p w:rsidR="00A77B3E">
            <w:pPr>
              <w:pStyle w:val="mqeng"/>
              <w:jc w:val="left"/>
            </w:pPr>
            <w:r>
              <w:rPr>
                <w:noProof/>
              </w:rPr>
              <w:t>&amp;#7;US high yield bond spreads widened over the month in response to the market's solid performance in the fourth quarter and as stronger-than-expected macroeconomic data dashed investor hopes for earlier interest rate cuts.</w:t>
            </w:r>
          </w:p>
        </w:tc>
        <w:tc>
          <w:tcPr>
            <w:tcW w:w="360" w:type="dxa"/>
            <w:shd w:val="clear" w:color="auto" w:fill="auto"/>
          </w:tcPr>
          <w:p w:rsidR="00A77B3E">
            <w:pPr>
              <w:pStyle w:val="mqspa"/>
              <w:jc w:val="left"/>
            </w:pPr>
            <w:r>
              <w:rPr>
                <w:noProof w:val="0"/>
              </w:rPr>
              <w:t>&amp;#7;Los diferenciales de bonos de alto rendimiento en EE. UU. se ampliaron durante el mes en respuesta al sólido desempeño del mercado en el cuarto trimestre y a medida que datos macroeconómicos más fuertes de lo esperado desvanecieron las esperanzas de los inversores de recortes de tasas de interés más tempranos.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w:t>
              <w:br/>
            </w:r>
            <w:r>
              <w:rPr>
                <w:noProof/>
                <w:sz w:val="2"/>
              </w:rPr>
              <w:t>7d52333f-9742-4453-8213-8d1f17991f45</w:t>
            </w:r>
          </w:p>
        </w:tc>
        <w:tc>
          <w:tcPr>
            <w:tcW w:w="360" w:type="dxa"/>
            <w:shd w:val="clear" w:color="auto" w:fill="F2F2F2"/>
          </w:tcPr>
          <w:p w:rsidR="00A77B3E">
            <w:pPr>
              <w:pStyle w:val="mqeng"/>
              <w:jc w:val="left"/>
            </w:pPr>
            <w:r>
              <w:rPr>
                <w:noProof/>
              </w:rPr>
              <w:t>Fourth-quarter GDP in the US grew by a much stronger-than-expected 3.3% (annualised), albeit down from 4.9% in the third quarter, and the jobs market remained buoyant.</w:t>
            </w:r>
          </w:p>
        </w:tc>
        <w:tc>
          <w:tcPr>
            <w:tcW w:w="360" w:type="dxa"/>
            <w:shd w:val="clear" w:color="auto" w:fill="auto"/>
          </w:tcPr>
          <w:p w:rsidR="00A77B3E">
            <w:pPr>
              <w:pStyle w:val="mqspa"/>
              <w:jc w:val="left"/>
            </w:pPr>
            <w:r>
              <w:rPr>
                <w:noProof w:val="0"/>
              </w:rPr>
              <w:t>El PIB del cuarto trimestre en EE. UU. creció un 3,3 % (anualizado), mucho más de lo esperado, aunque por debajo del 4,9 % en el tercer trimestre, y el mercado laboral se mantuvo boyante.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w:t>
              <w:br/>
            </w:r>
            <w:r>
              <w:rPr>
                <w:noProof/>
                <w:sz w:val="2"/>
              </w:rPr>
              <w:t>cbbf4dad-fe9c-4ab3-9be1-36252ce04752</w:t>
            </w:r>
          </w:p>
        </w:tc>
        <w:tc>
          <w:tcPr>
            <w:tcW w:w="360" w:type="dxa"/>
            <w:shd w:val="clear" w:color="auto" w:fill="F2F2F2"/>
          </w:tcPr>
          <w:p w:rsidR="00A77B3E">
            <w:pPr>
              <w:pStyle w:val="mqeng"/>
              <w:jc w:val="left"/>
            </w:pPr>
            <w:r>
              <w:rPr>
                <w:noProof/>
              </w:rPr>
              <w:t>The economy's strength continued to fuel the 'soft-landing' narrative of last year, but it also raised doubts during the month about when the US Federal Reserve (Fed) would start to loosen monetary policy.</w:t>
            </w:r>
          </w:p>
        </w:tc>
        <w:tc>
          <w:tcPr>
            <w:tcW w:w="360" w:type="dxa"/>
            <w:shd w:val="clear" w:color="auto" w:fill="auto"/>
          </w:tcPr>
          <w:p w:rsidR="00A77B3E">
            <w:pPr>
              <w:pStyle w:val="mqspa"/>
              <w:jc w:val="left"/>
            </w:pPr>
            <w:r>
              <w:rPr>
                <w:noProof w:val="0"/>
              </w:rPr>
              <w:t>La fortaleza de la economía continuó alimentando la narrativa del 'aterrizaje suave' del año pasado, pero también generó dudas durante el mes sobre cuándo comenzaría la Reserva Federal de EE. UU. (Fed) a flexibilizar la política monetaria.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w:t>
              <w:br/>
            </w:r>
            <w:r>
              <w:rPr>
                <w:noProof/>
                <w:sz w:val="2"/>
              </w:rPr>
              <w:t>50abdd96-a5f3-4eb8-b019-36986655f556</w:t>
            </w:r>
          </w:p>
        </w:tc>
        <w:tc>
          <w:tcPr>
            <w:tcW w:w="360" w:type="dxa"/>
            <w:shd w:val="clear" w:color="auto" w:fill="F2F2F2"/>
          </w:tcPr>
          <w:p w:rsidR="00A77B3E">
            <w:pPr>
              <w:pStyle w:val="mqeng"/>
              <w:jc w:val="left"/>
            </w:pPr>
            <w:r>
              <w:rPr>
                <w:noProof/>
              </w:rPr>
              <w:t>Indeed, the Fed held rates steady at its meeting at month end, and Chair Jerome Powell pushed back on imminent interest rate cuts as inflation remains too high.</w:t>
            </w:r>
          </w:p>
        </w:tc>
        <w:tc>
          <w:tcPr>
            <w:tcW w:w="360" w:type="dxa"/>
            <w:shd w:val="clear" w:color="auto" w:fill="auto"/>
          </w:tcPr>
          <w:p w:rsidR="00A77B3E">
            <w:pPr>
              <w:pStyle w:val="mqspa"/>
              <w:jc w:val="left"/>
            </w:pPr>
            <w:r>
              <w:rPr>
                <w:noProof w:val="0"/>
              </w:rPr>
              <w:t>De hecho, el Fed mantuvo los tipos estables en su reunión a finales de mes, y el presidente Jerome Powell rechazó los inminentes recortes de interés ya que la inflación sigue siendo demasiado alta.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w:t>
              <w:br/>
            </w:r>
            <w:r>
              <w:rPr>
                <w:noProof/>
                <w:sz w:val="2"/>
              </w:rPr>
              <w:t>29c94638-e652-4dd9-b1de-131c5e99b264</w:t>
            </w:r>
          </w:p>
        </w:tc>
        <w:tc>
          <w:tcPr>
            <w:tcW w:w="360" w:type="dxa"/>
            <w:shd w:val="clear" w:color="auto" w:fill="F2F2F2"/>
          </w:tcPr>
          <w:p w:rsidR="00A77B3E">
            <w:pPr>
              <w:pStyle w:val="mqeng"/>
              <w:jc w:val="left"/>
            </w:pPr>
            <w:r>
              <w:rPr>
                <w:noProof/>
              </w:rPr>
              <w:t>&amp;#7;In Europe, high yield bond spreads tightened as demand for the asset class increased.</w:t>
            </w:r>
          </w:p>
        </w:tc>
        <w:tc>
          <w:tcPr>
            <w:tcW w:w="360" w:type="dxa"/>
            <w:shd w:val="clear" w:color="auto" w:fill="auto"/>
          </w:tcPr>
          <w:p w:rsidR="00A77B3E">
            <w:pPr>
              <w:pStyle w:val="mqspa"/>
              <w:jc w:val="left"/>
            </w:pPr>
            <w:r>
              <w:rPr>
                <w:noProof w:val="0"/>
              </w:rPr>
              <w:t>&amp;#7;en Europa, los diferenciales de bonos de alto rendimiento se estrecharon a medida que la demanda por la clase de activos aumentó.</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w:t>
              <w:br/>
            </w:r>
            <w:r>
              <w:rPr>
                <w:noProof/>
                <w:sz w:val="2"/>
              </w:rPr>
              <w:t>b3a650ea-5beb-4e80-a11d-acc77327d4b4</w:t>
            </w:r>
          </w:p>
        </w:tc>
        <w:tc>
          <w:tcPr>
            <w:tcW w:w="360" w:type="dxa"/>
            <w:shd w:val="clear" w:color="auto" w:fill="F2F2F2"/>
          </w:tcPr>
          <w:p w:rsidR="00A77B3E">
            <w:pPr>
              <w:pStyle w:val="mqeng"/>
              <w:jc w:val="left"/>
            </w:pPr>
            <w:r>
              <w:rPr>
                <w:noProof/>
              </w:rPr>
              <w:t>The European Central Bank (ECB) also held rates steady, but highlighted easing pricing pressures, which increased expectations that policymakers could loosen monetary policy as early as April.</w:t>
            </w:r>
          </w:p>
        </w:tc>
        <w:tc>
          <w:tcPr>
            <w:tcW w:w="360" w:type="dxa"/>
            <w:shd w:val="clear" w:color="auto" w:fill="auto"/>
          </w:tcPr>
          <w:p w:rsidR="00A77B3E">
            <w:pPr>
              <w:pStyle w:val="mqspa"/>
              <w:jc w:val="left"/>
            </w:pPr>
            <w:r>
              <w:rPr>
                <w:noProof w:val="0"/>
              </w:rPr>
              <w:t>El Banco Central Europeo (BCE) también mantuvo los tipos estables, pero destacó la disminución de las presiones de los precios, lo que aumentó las expectativas de que la política monetaria podría aflojarse tan pronto como en abril.</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w:t>
              <w:br/>
            </w:r>
            <w:r>
              <w:rPr>
                <w:noProof/>
                <w:sz w:val="2"/>
              </w:rPr>
              <w:t>24c66072-ab8a-4ed3-9abb-598b5301e525</w:t>
            </w:r>
          </w:p>
        </w:tc>
        <w:tc>
          <w:tcPr>
            <w:tcW w:w="360" w:type="dxa"/>
            <w:shd w:val="clear" w:color="auto" w:fill="F2F2F2"/>
          </w:tcPr>
          <w:p w:rsidR="00A77B3E">
            <w:pPr>
              <w:pStyle w:val="mqeng"/>
              <w:jc w:val="left"/>
            </w:pPr>
            <w:r>
              <w:rPr>
                <w:noProof/>
              </w:rPr>
              <w:t>Meanwhile, concerns around supply chains flared up once again, with the US and UK conducted airstrikes on Houthi militants in Yemen following attacks on shipping in the Red Sea.</w:t>
            </w:r>
          </w:p>
        </w:tc>
        <w:tc>
          <w:tcPr>
            <w:tcW w:w="360" w:type="dxa"/>
            <w:shd w:val="clear" w:color="auto" w:fill="auto"/>
          </w:tcPr>
          <w:p w:rsidR="00A77B3E">
            <w:pPr>
              <w:pStyle w:val="mqspa"/>
              <w:jc w:val="left"/>
            </w:pPr>
            <w:r>
              <w:rPr>
                <w:noProof w:val="0"/>
              </w:rPr>
              <w:t>Mientras tanto, las preocupaciones en torno a las cadenas de suministro surgieron una vez más, con Estados Unidos y el Reino Unido llevando a cabo ataques aéreos contra militantes hutíes en Yemen tras los ataques a la navegación en el Mar Rojo.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w:t>
              <w:br/>
            </w:r>
            <w:r>
              <w:rPr>
                <w:noProof/>
                <w:sz w:val="2"/>
              </w:rPr>
              <w:t>9759ab3c-983c-4b6c-9b60-0bbb7162422c</w:t>
            </w:r>
          </w:p>
        </w:tc>
        <w:tc>
          <w:tcPr>
            <w:tcW w:w="360" w:type="dxa"/>
            <w:shd w:val="clear" w:color="auto" w:fill="F2F2F2"/>
          </w:tcPr>
          <w:p w:rsidR="00A77B3E">
            <w:pPr>
              <w:pStyle w:val="mqeng"/>
              <w:jc w:val="left"/>
            </w:pPr>
            <w:r>
              <w:rPr>
                <w:noProof/>
              </w:rPr>
              <w:t>&amp;#7;European and emerging market high yield bonds performed positively and broadly in line, while US high yield posted a negative excess return.</w:t>
            </w:r>
          </w:p>
        </w:tc>
        <w:tc>
          <w:tcPr>
            <w:tcW w:w="360" w:type="dxa"/>
            <w:shd w:val="clear" w:color="auto" w:fill="auto"/>
          </w:tcPr>
          <w:p w:rsidR="00A77B3E">
            <w:pPr>
              <w:pStyle w:val="mqspa"/>
              <w:jc w:val="left"/>
            </w:pPr>
            <w:r>
              <w:rPr>
                <w:noProof w:val="0"/>
              </w:rPr>
              <w:t>&amp;#7;Los bonos de alto rendimiento europeos y de mercados emergentes tuvieron un desempeño positivo y en general alineado, mientras que los bonos de alto rendimiento de EE. UU. registraron un rendimiento excesivo negativo.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w:t>
              <w:br/>
            </w:r>
            <w:r>
              <w:rPr>
                <w:noProof/>
                <w:sz w:val="2"/>
              </w:rPr>
              <w:t>9d9dc8e5-a910-4c5d-88bb-6a71ca01ebfc</w:t>
            </w:r>
          </w:p>
        </w:tc>
        <w:tc>
          <w:tcPr>
            <w:tcW w:w="360" w:type="dxa"/>
            <w:shd w:val="clear" w:color="auto" w:fill="F2F2F2"/>
          </w:tcPr>
          <w:p w:rsidR="00A77B3E">
            <w:pPr>
              <w:pStyle w:val="mqeng"/>
              <w:jc w:val="left"/>
            </w:pPr>
            <w:r>
              <w:rPr>
                <w:noProof/>
              </w:rPr>
              <w:t>All rating categories in the US posted negative excess returns, with BB-rated bonds performing the best and CCC-rated bonds performing the worst.</w:t>
            </w:r>
          </w:p>
        </w:tc>
        <w:tc>
          <w:tcPr>
            <w:tcW w:w="360" w:type="dxa"/>
            <w:shd w:val="clear" w:color="auto" w:fill="auto"/>
          </w:tcPr>
          <w:p w:rsidR="00A77B3E">
            <w:pPr>
              <w:pStyle w:val="mqspa"/>
              <w:jc w:val="left"/>
            </w:pPr>
            <w:r>
              <w:rPr>
                <w:noProof w:val="0"/>
              </w:rPr>
              <w:t>Todas las categorías de calificación en EE. UU. registraron rendimientos excesivos negativos, siendo los bonos calificados como BB los que mejor se desempeñaron y los bonos calificados como CCC los que peor se desempeñaron.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w:t>
              <w:br/>
            </w:r>
            <w:r>
              <w:rPr>
                <w:noProof/>
                <w:sz w:val="2"/>
              </w:rPr>
              <w:t>86fbdb93-5052-4429-bf24-e44c03b506cf</w:t>
            </w:r>
          </w:p>
        </w:tc>
        <w:tc>
          <w:tcPr>
            <w:tcW w:w="360" w:type="dxa"/>
            <w:shd w:val="clear" w:color="auto" w:fill="F2F2F2"/>
          </w:tcPr>
          <w:p w:rsidR="00A77B3E">
            <w:pPr>
              <w:pStyle w:val="mqeng"/>
              <w:jc w:val="left"/>
            </w:pPr>
            <w:r>
              <w:rPr>
                <w:noProof/>
              </w:rPr>
              <w:t>In Europe, CCC-rated bonds performed the best, followed by B-rated bonds and then BB-rated bonds.</w:t>
            </w:r>
          </w:p>
        </w:tc>
        <w:tc>
          <w:tcPr>
            <w:tcW w:w="360" w:type="dxa"/>
            <w:shd w:val="clear" w:color="auto" w:fill="auto"/>
          </w:tcPr>
          <w:p w:rsidR="00A77B3E">
            <w:pPr>
              <w:pStyle w:val="mqspa"/>
              <w:jc w:val="left"/>
            </w:pPr>
            <w:r>
              <w:rPr>
                <w:noProof w:val="0"/>
              </w:rPr>
              <w:t>En Europa, los bonos calificados como CCC tuvieron el mejor rendimiento, seguidos por los bonos calificados como B y luego los bonos calificados como BB.</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w:t>
              <w:br/>
            </w:r>
            <w:r>
              <w:rPr>
                <w:noProof/>
                <w:sz w:val="2"/>
              </w:rPr>
              <w:t>8acb3921-73a5-4595-bd59-bf754c98c9e8</w:t>
            </w:r>
          </w:p>
        </w:tc>
        <w:tc>
          <w:tcPr>
            <w:tcW w:w="360" w:type="dxa"/>
            <w:shd w:val="clear" w:color="auto" w:fill="F2F2F2"/>
          </w:tcPr>
          <w:p w:rsidR="00A77B3E">
            <w:pPr>
              <w:pStyle w:val="mqeng"/>
              <w:jc w:val="left"/>
            </w:pPr>
            <w:r>
              <w:rPr>
                <w:b/>
                <w:i w:val="0"/>
                <w:noProof/>
                <w:u w:val="none"/>
                <w:vertAlign w:val="baseline"/>
              </w:rPr>
              <w:t>Portfolio review</w:t>
            </w:r>
          </w:p>
        </w:tc>
        <w:tc>
          <w:tcPr>
            <w:tcW w:w="360" w:type="dxa"/>
            <w:shd w:val="clear" w:color="auto" w:fill="auto"/>
          </w:tcPr>
          <w:p w:rsidR="00A77B3E">
            <w:pPr>
              <w:pStyle w:val="mqspa"/>
              <w:jc w:val="left"/>
            </w:pPr>
            <w:r>
              <w:rPr>
                <w:b/>
                <w:i w:val="0"/>
                <w:noProof w:val="0"/>
                <w:u w:val="none"/>
                <w:vertAlign w:val="baseline"/>
              </w:rPr>
              <w:t>Portfolio review</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w:t>
              <w:br/>
            </w:r>
            <w:r>
              <w:rPr>
                <w:noProof/>
                <w:sz w:val="2"/>
              </w:rPr>
              <w:t>ed630944-c1a8-4ed5-bd1d-11e07fb1aabb</w:t>
            </w:r>
          </w:p>
        </w:tc>
        <w:tc>
          <w:tcPr>
            <w:tcW w:w="360" w:type="dxa"/>
            <w:shd w:val="clear" w:color="auto" w:fill="F2F2F2"/>
          </w:tcPr>
          <w:p w:rsidR="00A77B3E">
            <w:pPr>
              <w:pStyle w:val="mqeng"/>
              <w:jc w:val="left"/>
            </w:pPr>
            <w:r>
              <w:rPr>
                <w:noProof/>
              </w:rPr>
              <w:t>Security selection was the key driver of outperformance while sector allocation also contributed positively.</w:t>
            </w:r>
          </w:p>
        </w:tc>
        <w:tc>
          <w:tcPr>
            <w:tcW w:w="360" w:type="dxa"/>
            <w:shd w:val="clear" w:color="auto" w:fill="auto"/>
          </w:tcPr>
          <w:p w:rsidR="00A77B3E">
            <w:pPr>
              <w:pStyle w:val="mqspa"/>
              <w:jc w:val="left"/>
            </w:pPr>
            <w:r>
              <w:rPr>
                <w:noProof w:val="0"/>
              </w:rPr>
              <w:t>La selección de valores fue el principal motor del buen rendimiento, mientras que la asignación por sectores también contribuyó positivamente.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w:t>
              <w:br/>
            </w:r>
            <w:r>
              <w:rPr>
                <w:noProof/>
                <w:sz w:val="2"/>
              </w:rPr>
              <w:t>33636441-c2f8-403c-a7b1-448d02115763</w:t>
            </w:r>
          </w:p>
        </w:tc>
        <w:tc>
          <w:tcPr>
            <w:tcW w:w="360" w:type="dxa"/>
            <w:shd w:val="clear" w:color="auto" w:fill="F2F2F2"/>
          </w:tcPr>
          <w:p w:rsidR="00A77B3E">
            <w:pPr>
              <w:pStyle w:val="mqeng"/>
              <w:jc w:val="left"/>
            </w:pPr>
            <w:r>
              <w:rPr>
                <w:noProof/>
              </w:rPr>
              <w:t>At the sector level, underweight positions in media and telecommunications contributed positively to performance.</w:t>
            </w:r>
          </w:p>
        </w:tc>
        <w:tc>
          <w:tcPr>
            <w:tcW w:w="360" w:type="dxa"/>
            <w:shd w:val="clear" w:color="auto" w:fill="auto"/>
          </w:tcPr>
          <w:p w:rsidR="00A77B3E">
            <w:pPr>
              <w:pStyle w:val="mqspa"/>
              <w:jc w:val="left"/>
            </w:pPr>
            <w:r>
              <w:rPr>
                <w:noProof w:val="0"/>
              </w:rPr>
              <w:t>En el nivel de sectores, las posiciones infraponderadas en medios de comunicación y telecomunicaciones contribuyeron positivamente a la rentabilidad.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w:t>
              <w:br/>
            </w:r>
            <w:r>
              <w:rPr>
                <w:noProof/>
                <w:sz w:val="2"/>
              </w:rPr>
              <w:t>8424576e-b4bd-4c38-aeed-c9bc3ec3f26d</w:t>
            </w:r>
          </w:p>
        </w:tc>
        <w:tc>
          <w:tcPr>
            <w:tcW w:w="360" w:type="dxa"/>
            <w:shd w:val="clear" w:color="auto" w:fill="F2F2F2"/>
          </w:tcPr>
          <w:p w:rsidR="00A77B3E">
            <w:pPr>
              <w:pStyle w:val="mqeng"/>
              <w:jc w:val="left"/>
            </w:pPr>
            <w:r>
              <w:rPr>
                <w:noProof/>
              </w:rPr>
              <w:t>An underweight position in real estate detracted, as the sector was one of the best performing in January.</w:t>
            </w:r>
          </w:p>
        </w:tc>
        <w:tc>
          <w:tcPr>
            <w:tcW w:w="360" w:type="dxa"/>
            <w:shd w:val="clear" w:color="auto" w:fill="auto"/>
          </w:tcPr>
          <w:p w:rsidR="00A77B3E">
            <w:pPr>
              <w:pStyle w:val="mqspa"/>
              <w:jc w:val="left"/>
            </w:pPr>
            <w:r>
              <w:rPr>
                <w:noProof w:val="0"/>
              </w:rPr>
              <w:t>Una posición infraponderada en el sector inmobiliario restó, ya que el sector fue uno de los que mejores resultados obtuvo en enero.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w:t>
              <w:br/>
            </w:r>
            <w:r>
              <w:rPr>
                <w:noProof/>
                <w:sz w:val="2"/>
              </w:rPr>
              <w:t>5df87af4-3ad1-4a0f-80e8-858a2073986f</w:t>
            </w:r>
          </w:p>
        </w:tc>
        <w:tc>
          <w:tcPr>
            <w:tcW w:w="360" w:type="dxa"/>
            <w:shd w:val="clear" w:color="auto" w:fill="F2F2F2"/>
          </w:tcPr>
          <w:p w:rsidR="00A77B3E">
            <w:pPr>
              <w:pStyle w:val="mqeng"/>
              <w:jc w:val="left"/>
            </w:pPr>
            <w:r>
              <w:rPr>
                <w:noProof/>
              </w:rPr>
              <w:t>However, the fund benefited from strongly positive security selection here.</w:t>
            </w:r>
          </w:p>
        </w:tc>
        <w:tc>
          <w:tcPr>
            <w:tcW w:w="360" w:type="dxa"/>
            <w:shd w:val="clear" w:color="auto" w:fill="auto"/>
          </w:tcPr>
          <w:p w:rsidR="00A77B3E">
            <w:pPr>
              <w:pStyle w:val="mqspa"/>
              <w:jc w:val="left"/>
            </w:pPr>
            <w:r>
              <w:rPr>
                <w:noProof w:val="0"/>
              </w:rPr>
              <w:t>Sin embargo, el fondo se benefició de una selección de valores muy positiva aquí.</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w:t>
              <w:br/>
            </w:r>
            <w:r>
              <w:rPr>
                <w:noProof/>
                <w:sz w:val="2"/>
              </w:rPr>
              <w:t>fbc04a58-0346-4536-97c6-4c2d0c8ffc89</w:t>
            </w:r>
          </w:p>
        </w:tc>
        <w:tc>
          <w:tcPr>
            <w:tcW w:w="360" w:type="dxa"/>
            <w:shd w:val="clear" w:color="auto" w:fill="F2F2F2"/>
          </w:tcPr>
          <w:p w:rsidR="00A77B3E">
            <w:pPr>
              <w:pStyle w:val="mqeng"/>
              <w:jc w:val="left"/>
            </w:pPr>
            <w:r>
              <w:rPr>
                <w:noProof/>
              </w:rPr>
              <w:t>Security selection in telecommunications, technology and electronics and retail also added value, while security selection in capital goods hurt returns.</w:t>
            </w:r>
          </w:p>
        </w:tc>
        <w:tc>
          <w:tcPr>
            <w:tcW w:w="360" w:type="dxa"/>
            <w:shd w:val="clear" w:color="auto" w:fill="auto"/>
          </w:tcPr>
          <w:p w:rsidR="00A77B3E">
            <w:pPr>
              <w:pStyle w:val="mqspa"/>
              <w:jc w:val="left"/>
            </w:pPr>
            <w:r>
              <w:rPr>
                <w:noProof w:val="0"/>
              </w:rPr>
              <w:t>La selección de valores en telecomunicaciones, tecnología y electrónica y venta al por menor también añadió valor, mientras que la selección de valores en bienes de capital perjudicó los resultados.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20</w:t>
              <w:br/>
            </w:r>
            <w:r>
              <w:rPr>
                <w:noProof/>
                <w:sz w:val="2"/>
              </w:rPr>
              <w:t>6801fac4-a86d-4d75-af36-7b121a02d7de</w:t>
            </w:r>
          </w:p>
        </w:tc>
        <w:tc>
          <w:tcPr>
            <w:tcW w:w="360" w:type="dxa"/>
            <w:shd w:val="clear" w:color="auto" w:fill="F2F2F2"/>
          </w:tcPr>
          <w:p w:rsidR="00A77B3E">
            <w:pPr>
              <w:pStyle w:val="mqeng"/>
              <w:jc w:val="left"/>
            </w:pPr>
            <w:r>
              <w:rPr>
                <w:noProof/>
              </w:rPr>
              <w:t>Regionally, security selection in Europe and North America contributed positively to performance, while security selection in emerging markets detracted.</w:t>
            </w:r>
          </w:p>
        </w:tc>
        <w:tc>
          <w:tcPr>
            <w:tcW w:w="360" w:type="dxa"/>
            <w:shd w:val="clear" w:color="auto" w:fill="auto"/>
          </w:tcPr>
          <w:p w:rsidR="00A77B3E">
            <w:pPr>
              <w:pStyle w:val="mqspa"/>
              <w:jc w:val="left"/>
            </w:pPr>
            <w:r>
              <w:rPr>
                <w:noProof w:val="0"/>
              </w:rPr>
              <w:t>Regionalmente, la selección de valores en Europa y Norteamérica contribuyó positivamente al rendimiento, mientras que la selección de valores en los mercados emergentes afectó negativamente.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21</w:t>
              <w:br/>
            </w:r>
            <w:r>
              <w:rPr>
                <w:noProof/>
                <w:sz w:val="2"/>
              </w:rPr>
              <w:t>6238d1c7-ad40-43d8-8727-a12e2f135238</w:t>
            </w:r>
          </w:p>
        </w:tc>
        <w:tc>
          <w:tcPr>
            <w:tcW w:w="360" w:type="dxa"/>
            <w:shd w:val="clear" w:color="auto" w:fill="F2F2F2"/>
          </w:tcPr>
          <w:p w:rsidR="00A77B3E">
            <w:pPr>
              <w:pStyle w:val="mqeng"/>
              <w:jc w:val="left"/>
            </w:pPr>
            <w:r>
              <w:rPr>
                <w:noProof/>
              </w:rPr>
              <w:t>At the issuer level, the fund's overweight position in European REIT CPI Property contributed strongly to returns.</w:t>
            </w:r>
          </w:p>
        </w:tc>
        <w:tc>
          <w:tcPr>
            <w:tcW w:w="360" w:type="dxa"/>
            <w:shd w:val="clear" w:color="auto" w:fill="auto"/>
          </w:tcPr>
          <w:p w:rsidR="00A77B3E">
            <w:pPr>
              <w:pStyle w:val="mqspa"/>
              <w:jc w:val="left"/>
            </w:pPr>
            <w:r>
              <w:rPr>
                <w:noProof w:val="0"/>
              </w:rPr>
              <w:t>A nivel de emisor, la posición sobreponderada del fondo en el REIT europeo IPC de REIT contribuyó fuertemente a los resultados.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22</w:t>
              <w:br/>
            </w:r>
            <w:r>
              <w:rPr>
                <w:noProof/>
                <w:sz w:val="2"/>
              </w:rPr>
              <w:t>8a768eb5-2bb5-44ed-85f0-e38d739ca503</w:t>
            </w:r>
          </w:p>
        </w:tc>
        <w:tc>
          <w:tcPr>
            <w:tcW w:w="360" w:type="dxa"/>
            <w:shd w:val="clear" w:color="auto" w:fill="F2F2F2"/>
          </w:tcPr>
          <w:p w:rsidR="00A77B3E">
            <w:pPr>
              <w:pStyle w:val="mqeng"/>
              <w:jc w:val="left"/>
            </w:pPr>
            <w:r>
              <w:rPr>
                <w:noProof/>
              </w:rPr>
              <w:t>CPI underperformed in 2023, as the high interest rate environment put pressure on its business model and following December's news that Muddy waters (the short-selling hedge fund) had bet against it.</w:t>
            </w:r>
          </w:p>
        </w:tc>
        <w:tc>
          <w:tcPr>
            <w:tcW w:w="360" w:type="dxa"/>
            <w:shd w:val="clear" w:color="auto" w:fill="auto"/>
          </w:tcPr>
          <w:p w:rsidR="00A77B3E">
            <w:pPr>
              <w:pStyle w:val="mqspa"/>
              <w:jc w:val="left"/>
            </w:pPr>
            <w:r>
              <w:rPr>
                <w:noProof w:val="0"/>
              </w:rPr>
              <w:t>El IPC tuvo un rendimiento inferior en 2023, ya que el alto entorno de tasas de interés presionó su modelo de negocio y tras las noticias de diciembre de que Muddy Waters (el fondo de cobertura de venta en corto) había apostado en su contra.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23</w:t>
              <w:br/>
            </w:r>
            <w:r>
              <w:rPr>
                <w:noProof/>
                <w:sz w:val="2"/>
              </w:rPr>
              <w:t>e166ac13-b1ce-4c75-a3c8-0e00ffa9ffdf</w:t>
            </w:r>
          </w:p>
        </w:tc>
        <w:tc>
          <w:tcPr>
            <w:tcW w:w="360" w:type="dxa"/>
            <w:shd w:val="clear" w:color="auto" w:fill="F2F2F2"/>
          </w:tcPr>
          <w:p w:rsidR="00A77B3E">
            <w:pPr>
              <w:pStyle w:val="mqeng"/>
              <w:jc w:val="left"/>
            </w:pPr>
            <w:r>
              <w:rPr>
                <w:noProof/>
              </w:rPr>
              <w:t>However, its spread tightened significantly in January, alongside the broader REIT sector, as investor expectations for a cut in interest rates deepened.</w:t>
            </w:r>
          </w:p>
        </w:tc>
        <w:tc>
          <w:tcPr>
            <w:tcW w:w="360" w:type="dxa"/>
            <w:shd w:val="clear" w:color="auto" w:fill="auto"/>
          </w:tcPr>
          <w:p w:rsidR="00A77B3E">
            <w:pPr>
              <w:pStyle w:val="mqspa"/>
              <w:jc w:val="left"/>
            </w:pPr>
            <w:r>
              <w:rPr>
                <w:noProof w:val="0"/>
              </w:rPr>
              <w:t>Sin embargo, su diferencial se ajustó significativamente en enero, junto con el sector más amplio de los REIT, a medida que las expectativas de los inversores sobre una reducción en el interés se profundizaron.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24</w:t>
              <w:br/>
            </w:r>
            <w:r>
              <w:rPr>
                <w:noProof/>
                <w:sz w:val="2"/>
              </w:rPr>
              <w:t>e3fbd495-9109-48b8-8d28-cca4d9ed9c76</w:t>
            </w:r>
          </w:p>
        </w:tc>
        <w:tc>
          <w:tcPr>
            <w:tcW w:w="360" w:type="dxa"/>
            <w:shd w:val="clear" w:color="auto" w:fill="F2F2F2"/>
          </w:tcPr>
          <w:p w:rsidR="00A77B3E">
            <w:pPr>
              <w:pStyle w:val="mqeng"/>
              <w:jc w:val="left"/>
            </w:pPr>
            <w:r>
              <w:rPr>
                <w:noProof/>
              </w:rPr>
              <w:t>Elsewhere, an overweight position in UK energy company EDF contributed positively to performance, despite news flow in January around increased costs for its nuclear plant currently being built in the UK.</w:t>
            </w:r>
          </w:p>
        </w:tc>
        <w:tc>
          <w:tcPr>
            <w:tcW w:w="360" w:type="dxa"/>
            <w:shd w:val="clear" w:color="auto" w:fill="auto"/>
          </w:tcPr>
          <w:p w:rsidR="00A77B3E">
            <w:pPr>
              <w:pStyle w:val="mqspa"/>
              <w:jc w:val="left"/>
            </w:pPr>
            <w:r>
              <w:rPr>
                <w:noProof w:val="0"/>
              </w:rPr>
              <w:t>En otros lugares, una posición sobreponderada en la empresa energética de Reino Unido EDF contribuyó positivamente a la rentabilidad, a pesar del flujo de noticias en enero sobre el incremento de los costes para su planta nuclear en construcción en el Reino Unido.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25</w:t>
              <w:br/>
            </w:r>
            <w:r>
              <w:rPr>
                <w:noProof/>
                <w:sz w:val="2"/>
              </w:rPr>
              <w:t>06b1fb72-c56d-44ef-a4f2-633e30f3c09d</w:t>
            </w:r>
          </w:p>
        </w:tc>
        <w:tc>
          <w:tcPr>
            <w:tcW w:w="360" w:type="dxa"/>
            <w:shd w:val="clear" w:color="auto" w:fill="F2F2F2"/>
          </w:tcPr>
          <w:p w:rsidR="00A77B3E">
            <w:pPr>
              <w:pStyle w:val="mqeng"/>
              <w:jc w:val="left"/>
            </w:pPr>
            <w:r>
              <w:rPr>
                <w:noProof/>
              </w:rPr>
              <w:t>Not holding US television provider Dish Network, France-based information technology company Atos and construction engineering firm CSC also helped returns.</w:t>
            </w:r>
          </w:p>
        </w:tc>
        <w:tc>
          <w:tcPr>
            <w:tcW w:w="360" w:type="dxa"/>
            <w:shd w:val="clear" w:color="auto" w:fill="auto"/>
          </w:tcPr>
          <w:p w:rsidR="00A77B3E">
            <w:pPr>
              <w:pStyle w:val="mqspa"/>
              <w:jc w:val="left"/>
            </w:pPr>
            <w:r>
              <w:rPr>
                <w:noProof w:val="0"/>
              </w:rPr>
              <w:t>No tener al proveedor de televisión estadounidense Dish Network, la empresa de tecnología de la información con sede en Francia Atos y la firma de ingeniería de construcción CSC también ayudaron a los rendimientos.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26</w:t>
              <w:br/>
            </w:r>
            <w:r>
              <w:rPr>
                <w:noProof/>
                <w:sz w:val="2"/>
              </w:rPr>
              <w:t>80c2b230-e9d3-4e73-859a-735511985cc5</w:t>
            </w:r>
          </w:p>
        </w:tc>
        <w:tc>
          <w:tcPr>
            <w:tcW w:w="360" w:type="dxa"/>
            <w:shd w:val="clear" w:color="auto" w:fill="F2F2F2"/>
          </w:tcPr>
          <w:p w:rsidR="00A77B3E">
            <w:pPr>
              <w:pStyle w:val="mqeng"/>
              <w:jc w:val="left"/>
            </w:pPr>
            <w:r>
              <w:rPr>
                <w:noProof/>
              </w:rPr>
              <w:t>Conversely, overweight positions in paper and packaging company LABL, Mexico City International Airport, which is an emerging market corporate issuer, and US television network Univision hurt returns.</w:t>
            </w:r>
          </w:p>
        </w:tc>
        <w:tc>
          <w:tcPr>
            <w:tcW w:w="360" w:type="dxa"/>
            <w:shd w:val="clear" w:color="auto" w:fill="auto"/>
          </w:tcPr>
          <w:p w:rsidR="00A77B3E">
            <w:pPr>
              <w:pStyle w:val="mqspa"/>
              <w:jc w:val="left"/>
            </w:pPr>
            <w:r>
              <w:rPr>
                <w:noProof w:val="0"/>
              </w:rPr>
              <w:t>Por el contrario, las posiciones sobreponderadas en la empresa de embalaje y embalajes LABL, el Aeropuerto Internacional de México City, que es un emisor corporativo de mercados emergentes, y la red de televisión Univision afectaron a los resultados.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27</w:t>
              <w:br/>
            </w:r>
            <w:r>
              <w:rPr>
                <w:noProof/>
                <w:sz w:val="2"/>
              </w:rPr>
              <w:t>258a331f-4fe9-4f5d-8210-fb72b7cc222b</w:t>
            </w:r>
          </w:p>
        </w:tc>
        <w:tc>
          <w:tcPr>
            <w:tcW w:w="360" w:type="dxa"/>
            <w:shd w:val="clear" w:color="auto" w:fill="F2F2F2"/>
          </w:tcPr>
          <w:p w:rsidR="00A77B3E">
            <w:pPr>
              <w:pStyle w:val="mqeng"/>
              <w:jc w:val="left"/>
            </w:pPr>
            <w:r>
              <w:rPr>
                <w:noProof/>
              </w:rPr>
              <w:t>Not holding some issuers that rallied during the month also weighed on relative returns, including chemicals company Chart Industries and European real estate company Heimstaden Bostad.</w:t>
            </w:r>
          </w:p>
        </w:tc>
        <w:tc>
          <w:tcPr>
            <w:tcW w:w="360" w:type="dxa"/>
            <w:shd w:val="clear" w:color="auto" w:fill="auto"/>
          </w:tcPr>
          <w:p w:rsidR="00A77B3E">
            <w:pPr>
              <w:pStyle w:val="mqspa"/>
              <w:jc w:val="left"/>
            </w:pPr>
            <w:r>
              <w:rPr>
                <w:noProof w:val="0"/>
              </w:rPr>
              <w:t>No tener algunos emisores que repuntaron durante el mes también afectó los resultados relativos, incluyendo la empresa química Chart Industries y la empresa inmobiliaria europea Heimsta Bostad.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28</w:t>
              <w:br/>
            </w:r>
            <w:r>
              <w:rPr>
                <w:noProof/>
                <w:sz w:val="2"/>
              </w:rPr>
              <w:t>dec0d3b8-88b1-403a-80b8-ecd43c46f9a0</w:t>
            </w:r>
          </w:p>
        </w:tc>
        <w:tc>
          <w:tcPr>
            <w:tcW w:w="360" w:type="dxa"/>
            <w:shd w:val="clear" w:color="auto" w:fill="F2F2F2"/>
          </w:tcPr>
          <w:p w:rsidR="00A77B3E">
            <w:pPr>
              <w:pStyle w:val="mqeng"/>
              <w:jc w:val="left"/>
            </w:pPr>
            <w:r>
              <w:rPr>
                <w:noProof/>
              </w:rPr>
              <w:t>We added some new issues to the fund during the month, including real estate logistics company Logicor and UK chemicals firm Ineos.</w:t>
            </w:r>
          </w:p>
        </w:tc>
        <w:tc>
          <w:tcPr>
            <w:tcW w:w="360" w:type="dxa"/>
            <w:shd w:val="clear" w:color="auto" w:fill="auto"/>
          </w:tcPr>
          <w:p w:rsidR="00A77B3E">
            <w:pPr>
              <w:pStyle w:val="mqspa"/>
              <w:jc w:val="left"/>
            </w:pPr>
            <w:r>
              <w:rPr>
                <w:noProof w:val="0"/>
              </w:rPr>
              <w:t>Agregamos algunas nuevas emisiones al fondo durante el mes, incluyendo la empresa de logística inmobiliaria Logicor y la empresa química del Reino Unido Ineos.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29</w:t>
              <w:br/>
            </w:r>
            <w:r>
              <w:rPr>
                <w:noProof/>
                <w:sz w:val="2"/>
              </w:rPr>
              <w:t>5a6e0e92-8988-419c-9b62-f955783b19a6</w:t>
            </w:r>
          </w:p>
        </w:tc>
        <w:tc>
          <w:tcPr>
            <w:tcW w:w="360" w:type="dxa"/>
            <w:shd w:val="clear" w:color="auto" w:fill="F2F2F2"/>
          </w:tcPr>
          <w:p w:rsidR="00A77B3E">
            <w:pPr>
              <w:pStyle w:val="mqeng"/>
              <w:jc w:val="left"/>
            </w:pPr>
            <w:r>
              <w:rPr>
                <w:noProof/>
              </w:rPr>
              <w:t>Elsewhere, the automotive sector was hit hard at the beginning of 2023 with spreads widening, so we added a new bond from German automotive company Schaeffler, which was attractively priced.</w:t>
            </w:r>
          </w:p>
        </w:tc>
        <w:tc>
          <w:tcPr>
            <w:tcW w:w="360" w:type="dxa"/>
            <w:shd w:val="clear" w:color="auto" w:fill="auto"/>
          </w:tcPr>
          <w:p w:rsidR="00A77B3E">
            <w:pPr>
              <w:pStyle w:val="mqspa"/>
              <w:jc w:val="left"/>
            </w:pPr>
            <w:r>
              <w:rPr>
                <w:noProof w:val="0"/>
              </w:rPr>
              <w:t>En otros lugares, el sector de automoción se vio gravemente afectado a principios de 2023 con una ampliación de los diferenciales, por lo que añadimos un nuevo bono de la compañía alemana de automoción Schaeffler, que tenía un precio atractivo.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30</w:t>
              <w:br/>
            </w:r>
            <w:r>
              <w:rPr>
                <w:noProof/>
                <w:sz w:val="2"/>
              </w:rPr>
              <w:t>46802852-6edb-46ca-8bc0-9137d0df7bbc</w:t>
            </w:r>
          </w:p>
        </w:tc>
        <w:tc>
          <w:tcPr>
            <w:tcW w:w="360" w:type="dxa"/>
            <w:shd w:val="clear" w:color="auto" w:fill="F2F2F2"/>
          </w:tcPr>
          <w:p w:rsidR="00A77B3E">
            <w:pPr>
              <w:pStyle w:val="mqeng"/>
              <w:jc w:val="left"/>
            </w:pPr>
            <w:r>
              <w:rPr>
                <w:noProof/>
              </w:rPr>
              <w:t>We increased the fund's exposure in housebuilder Miller Homes, as we like the outlook for its business, given sustained demand for new build homes and as mortgage rates begin to fall.</w:t>
            </w:r>
          </w:p>
        </w:tc>
        <w:tc>
          <w:tcPr>
            <w:tcW w:w="360" w:type="dxa"/>
            <w:shd w:val="clear" w:color="auto" w:fill="auto"/>
          </w:tcPr>
          <w:p w:rsidR="00A77B3E">
            <w:pPr>
              <w:pStyle w:val="mqspa"/>
              <w:jc w:val="left"/>
            </w:pPr>
            <w:r>
              <w:rPr>
                <w:noProof w:val="0"/>
              </w:rPr>
              <w:t>Aumentamos la exposición del fondo en el constructor de viviendas Miller Homes, ya que nos gusta el Outlook de su negocio, dada la demanda sostenida de viviendas de nueva construcción y a medida que las tasas hipotecarias comienzan a caer.</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31</w:t>
              <w:br/>
            </w:r>
            <w:r>
              <w:rPr>
                <w:noProof/>
                <w:sz w:val="2"/>
              </w:rPr>
              <w:t>b3c4e0aa-d8ff-4b1f-87e9-9c09f3cb8df7</w:t>
            </w:r>
          </w:p>
        </w:tc>
        <w:tc>
          <w:tcPr>
            <w:tcW w:w="360" w:type="dxa"/>
            <w:shd w:val="clear" w:color="auto" w:fill="F2F2F2"/>
          </w:tcPr>
          <w:p w:rsidR="00A77B3E">
            <w:pPr>
              <w:pStyle w:val="mqeng"/>
              <w:jc w:val="left"/>
            </w:pPr>
            <w:r>
              <w:rPr>
                <w:b/>
                <w:i w:val="0"/>
                <w:noProof/>
                <w:u w:val="none"/>
                <w:vertAlign w:val="baseline"/>
              </w:rPr>
              <w:t>Contributors/detractors</w:t>
            </w:r>
          </w:p>
        </w:tc>
        <w:tc>
          <w:tcPr>
            <w:tcW w:w="360" w:type="dxa"/>
            <w:shd w:val="clear" w:color="auto" w:fill="auto"/>
          </w:tcPr>
          <w:p w:rsidR="00A77B3E">
            <w:pPr>
              <w:pStyle w:val="mqspa"/>
              <w:jc w:val="left"/>
            </w:pPr>
            <w:r>
              <w:rPr>
                <w:b/>
                <w:i w:val="0"/>
                <w:noProof w:val="0"/>
                <w:u w:val="none"/>
                <w:vertAlign w:val="baseline"/>
              </w:rPr>
              <w:t>Contributors/detractors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32</w:t>
              <w:br/>
            </w:r>
            <w:r>
              <w:rPr>
                <w:noProof/>
                <w:sz w:val="2"/>
              </w:rPr>
              <w:t>ec415248-8fa8-41dd-bf8c-83c6f4124458</w:t>
            </w:r>
          </w:p>
        </w:tc>
        <w:tc>
          <w:tcPr>
            <w:tcW w:w="360" w:type="dxa"/>
            <w:shd w:val="clear" w:color="auto" w:fill="F2F2F2"/>
          </w:tcPr>
          <w:p w:rsidR="00A77B3E">
            <w:pPr>
              <w:pStyle w:val="mqeng"/>
              <w:jc w:val="left"/>
            </w:pPr>
            <w:r>
              <w:rPr>
                <w:noProof/>
              </w:rPr>
              <w:t>Security selection was the key driver of outperformance while sector allocation also contributed positively.</w:t>
            </w:r>
          </w:p>
        </w:tc>
        <w:tc>
          <w:tcPr>
            <w:tcW w:w="360" w:type="dxa"/>
            <w:shd w:val="clear" w:color="auto" w:fill="auto"/>
          </w:tcPr>
          <w:p w:rsidR="00A77B3E">
            <w:pPr>
              <w:pStyle w:val="mqspa"/>
              <w:jc w:val="left"/>
            </w:pPr>
            <w:r>
              <w:rPr>
                <w:noProof w:val="0"/>
              </w:rPr>
              <w:t>La selección de valores fue el principal motor del buen rendimiento, mientras que la asignación por sectores también contribuyó positivamente.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33</w:t>
              <w:br/>
            </w:r>
            <w:r>
              <w:rPr>
                <w:noProof/>
                <w:sz w:val="2"/>
              </w:rPr>
              <w:t>0e975d4a-4ba8-4560-bba7-c9723cf73ea3</w:t>
            </w:r>
          </w:p>
        </w:tc>
        <w:tc>
          <w:tcPr>
            <w:tcW w:w="360" w:type="dxa"/>
            <w:shd w:val="clear" w:color="auto" w:fill="F2F2F2"/>
          </w:tcPr>
          <w:p w:rsidR="00A77B3E">
            <w:pPr>
              <w:pStyle w:val="mqeng"/>
              <w:jc w:val="left"/>
            </w:pPr>
            <w:r>
              <w:rPr>
                <w:b/>
                <w:i w:val="0"/>
                <w:noProof/>
                <w:u w:val="none"/>
                <w:vertAlign w:val="baseline"/>
              </w:rPr>
              <w:t>Outlook</w:t>
            </w:r>
          </w:p>
        </w:tc>
        <w:tc>
          <w:tcPr>
            <w:tcW w:w="360" w:type="dxa"/>
            <w:shd w:val="clear" w:color="auto" w:fill="auto"/>
          </w:tcPr>
          <w:p w:rsidR="00A77B3E">
            <w:pPr>
              <w:pStyle w:val="mqspa"/>
              <w:jc w:val="left"/>
            </w:pPr>
            <w:r>
              <w:rPr>
                <w:b/>
                <w:i w:val="0"/>
                <w:noProof w:val="0"/>
                <w:u w:val="none"/>
                <w:vertAlign w:val="baseline"/>
              </w:rPr>
              <w:t>Outlook</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34</w:t>
              <w:br/>
            </w:r>
            <w:r>
              <w:rPr>
                <w:noProof/>
                <w:sz w:val="2"/>
              </w:rPr>
              <w:t>fefad8d7-92f6-4757-865f-330fc2bf6961</w:t>
            </w:r>
          </w:p>
        </w:tc>
        <w:tc>
          <w:tcPr>
            <w:tcW w:w="360" w:type="dxa"/>
            <w:shd w:val="clear" w:color="auto" w:fill="F2F2F2"/>
          </w:tcPr>
          <w:p w:rsidR="00A77B3E">
            <w:pPr>
              <w:pStyle w:val="mqeng"/>
              <w:jc w:val="left"/>
            </w:pPr>
            <w:r>
              <w:rPr>
                <w:noProof/>
              </w:rPr>
              <w:t>Given the binary outlook, we remain cautious about adding risk and remain focused on selecting companies with strong fundamentals and what we see as attractive valuations.</w:t>
            </w:r>
          </w:p>
        </w:tc>
        <w:tc>
          <w:tcPr>
            <w:tcW w:w="360" w:type="dxa"/>
            <w:shd w:val="clear" w:color="auto" w:fill="auto"/>
          </w:tcPr>
          <w:p w:rsidR="00A77B3E">
            <w:pPr>
              <w:pStyle w:val="mqspa"/>
              <w:jc w:val="left"/>
            </w:pPr>
            <w:r>
              <w:rPr>
                <w:noProof w:val="0"/>
              </w:rPr>
              <w:t>Dada la perspectiva binaria, seguimos siendo cautelosos al agregar riesgo y nos mantenemos enfocados en la selección de empresas con sólidos fundamentos y lo que consideramos como valoraciones atractivas.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35</w:t>
              <w:br/>
            </w:r>
            <w:r>
              <w:rPr>
                <w:noProof/>
                <w:sz w:val="2"/>
              </w:rPr>
              <w:t>408ab9b9-da1a-435b-947b-be02498775cb</w:t>
            </w:r>
          </w:p>
        </w:tc>
        <w:tc>
          <w:tcPr>
            <w:tcW w:w="360" w:type="dxa"/>
            <w:shd w:val="clear" w:color="auto" w:fill="F2F2F2"/>
          </w:tcPr>
          <w:p w:rsidR="00A77B3E">
            <w:pPr>
              <w:pStyle w:val="mqeng"/>
              <w:jc w:val="left"/>
            </w:pPr>
            <w:r>
              <w:rPr>
                <w:b/>
                <w:i w:val="0"/>
                <w:noProof/>
                <w:u w:val="none"/>
                <w:vertAlign w:val="baseline"/>
              </w:rPr>
              <w:t>Manager outlook</w:t>
            </w:r>
          </w:p>
        </w:tc>
        <w:tc>
          <w:tcPr>
            <w:tcW w:w="360" w:type="dxa"/>
            <w:shd w:val="clear" w:color="auto" w:fill="auto"/>
          </w:tcPr>
          <w:p w:rsidR="00A77B3E">
            <w:pPr>
              <w:pStyle w:val="mqspa"/>
              <w:jc w:val="left"/>
            </w:pPr>
            <w:r>
              <w:rPr>
                <w:b/>
                <w:i w:val="0"/>
                <w:noProof w:val="0"/>
                <w:u w:val="none"/>
                <w:vertAlign w:val="baseline"/>
              </w:rPr>
              <w:t>Manager outlook</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36</w:t>
              <w:br/>
            </w:r>
            <w:r>
              <w:rPr>
                <w:noProof/>
                <w:sz w:val="2"/>
              </w:rPr>
              <w:t>73c91772-f696-42ba-9201-dfbe4849a997</w:t>
            </w:r>
          </w:p>
        </w:tc>
        <w:tc>
          <w:tcPr>
            <w:tcW w:w="360" w:type="dxa"/>
            <w:shd w:val="clear" w:color="auto" w:fill="F2F2F2"/>
          </w:tcPr>
          <w:p w:rsidR="00A77B3E">
            <w:pPr>
              <w:pStyle w:val="mqeng"/>
              <w:jc w:val="left"/>
            </w:pPr>
            <w:r>
              <w:rPr>
                <w:noProof/>
              </w:rPr>
              <w:t>We maintained the fund's small overweight position to credit spread risk relative to the index.</w:t>
            </w:r>
          </w:p>
        </w:tc>
        <w:tc>
          <w:tcPr>
            <w:tcW w:w="360" w:type="dxa"/>
            <w:shd w:val="clear" w:color="auto" w:fill="auto"/>
          </w:tcPr>
          <w:p w:rsidR="00A77B3E">
            <w:pPr>
              <w:pStyle w:val="mqspa"/>
              <w:jc w:val="left"/>
            </w:pPr>
            <w:r>
              <w:rPr>
                <w:noProof w:val="0"/>
              </w:rPr>
              <w:t>Mantenemos la pequeña posición sobreponderada del fondo en riesgo de diferencial de crédito en relación con el índice.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37</w:t>
              <w:br/>
            </w:r>
            <w:r>
              <w:rPr>
                <w:noProof/>
                <w:sz w:val="2"/>
              </w:rPr>
              <w:t>d945850d-497f-4a01-b813-469e10e45e84</w:t>
            </w:r>
          </w:p>
        </w:tc>
        <w:tc>
          <w:tcPr>
            <w:tcW w:w="360" w:type="dxa"/>
            <w:shd w:val="clear" w:color="auto" w:fill="F2F2F2"/>
          </w:tcPr>
          <w:p w:rsidR="00A77B3E">
            <w:pPr>
              <w:pStyle w:val="mqeng"/>
              <w:jc w:val="left"/>
            </w:pPr>
            <w:r>
              <w:rPr>
                <w:noProof/>
              </w:rPr>
              <w:t>Markets reacted swiftly to the prospect of a later start to the Fed's rate-cutting cycle and although this does not change our outlook for the year, it highlights the rates volatility we can expect as investors adjust expectations.</w:t>
            </w:r>
          </w:p>
        </w:tc>
        <w:tc>
          <w:tcPr>
            <w:tcW w:w="360" w:type="dxa"/>
            <w:shd w:val="clear" w:color="auto" w:fill="auto"/>
          </w:tcPr>
          <w:p w:rsidR="00A77B3E">
            <w:pPr>
              <w:pStyle w:val="mqspa"/>
              <w:jc w:val="left"/>
            </w:pPr>
            <w:r>
              <w:rPr>
                <w:noProof w:val="0"/>
              </w:rPr>
              <w:t>Los mercados reaccionaron rápidamente ante la perspectiva de un inicio más tardío del ciclo de reducción de los tipos y, aunque esto no cambia nuestro Outlook para el año, resalta la volatilidad de los tipos que podemos esperar a medida que los inversores ajusten sus expectativas.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38</w:t>
              <w:br/>
            </w:r>
            <w:r>
              <w:rPr>
                <w:noProof/>
                <w:sz w:val="2"/>
              </w:rPr>
              <w:t>d2ba581f-30ff-4dcf-b1ca-5a06e5267f77</w:t>
            </w:r>
          </w:p>
        </w:tc>
        <w:tc>
          <w:tcPr>
            <w:tcW w:w="360" w:type="dxa"/>
            <w:shd w:val="clear" w:color="auto" w:fill="F2F2F2"/>
          </w:tcPr>
          <w:p w:rsidR="00A77B3E">
            <w:pPr>
              <w:pStyle w:val="mqeng"/>
              <w:jc w:val="left"/>
            </w:pPr>
            <w:r>
              <w:rPr>
                <w:noProof/>
              </w:rPr>
              <w:t>We expect this volatility to spill over into high yield spreads and see two potential scenarios playing out: a near-term spread bear market caused by anything that reignites inflationary concerns, or a temporary re-acceleration of growth that leads to central banks pushing back rate cuts.</w:t>
            </w:r>
          </w:p>
        </w:tc>
        <w:tc>
          <w:tcPr>
            <w:tcW w:w="360" w:type="dxa"/>
            <w:shd w:val="clear" w:color="auto" w:fill="auto"/>
          </w:tcPr>
          <w:p w:rsidR="00A77B3E">
            <w:pPr>
              <w:pStyle w:val="mqspa"/>
              <w:jc w:val="left"/>
            </w:pPr>
            <w:r>
              <w:rPr>
                <w:noProof w:val="0"/>
              </w:rPr>
              <w:t>Esperamos que esta volatilidad se traslade a los diferenciales de alto rendimiento y vemos dos escenarios potenciales desarrollándose: un mercado bajista de diferenciales a corto plazo causado por cualquier cosa que reavive las preocupaciones inflacionarias, o una re-aceleración temporal del crecimiento que lleve a los bancos centrales a posponer los recortes de tasas.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39</w:t>
              <w:br/>
            </w:r>
            <w:r>
              <w:rPr>
                <w:noProof/>
                <w:sz w:val="2"/>
              </w:rPr>
              <w:t>77e64f50-8cac-4037-9cb8-1a99880b1981</w:t>
            </w:r>
          </w:p>
        </w:tc>
        <w:tc>
          <w:tcPr>
            <w:tcW w:w="360" w:type="dxa"/>
            <w:shd w:val="clear" w:color="auto" w:fill="F2F2F2"/>
          </w:tcPr>
          <w:p w:rsidR="00A77B3E">
            <w:pPr>
              <w:pStyle w:val="mqeng"/>
              <w:jc w:val="left"/>
            </w:pPr>
            <w:r>
              <w:rPr>
                <w:noProof/>
              </w:rPr>
              <w:t>A steady spread bull market could happen if it becomes clear that inflation is firmly defeated.</w:t>
            </w:r>
          </w:p>
        </w:tc>
        <w:tc>
          <w:tcPr>
            <w:tcW w:w="360" w:type="dxa"/>
            <w:shd w:val="clear" w:color="auto" w:fill="auto"/>
          </w:tcPr>
          <w:p w:rsidR="00A77B3E">
            <w:pPr>
              <w:pStyle w:val="mqspa"/>
              <w:jc w:val="left"/>
            </w:pPr>
            <w:r>
              <w:rPr>
                <w:noProof w:val="0"/>
              </w:rPr>
              <w:t>Un mercado alcista de expansión constante podría ocurrir si queda claro que la inflación está firmemente derrotada.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40</w:t>
              <w:br/>
            </w:r>
            <w:r>
              <w:rPr>
                <w:noProof/>
                <w:sz w:val="2"/>
              </w:rPr>
              <w:t>1d433a74-03ef-427f-ab39-731fa6f4587c</w:t>
            </w:r>
          </w:p>
        </w:tc>
        <w:tc>
          <w:tcPr>
            <w:tcW w:w="360" w:type="dxa"/>
            <w:shd w:val="clear" w:color="auto" w:fill="F2F2F2"/>
          </w:tcPr>
          <w:p w:rsidR="00A77B3E">
            <w:pPr>
              <w:pStyle w:val="mqeng"/>
              <w:jc w:val="left"/>
            </w:pPr>
            <w:r>
              <w:rPr>
                <w:noProof/>
              </w:rPr>
              <w:t>Central banks embark on rate cuts to prevent real rates becoming too restrictive, which benefits spread assets.</w:t>
            </w:r>
          </w:p>
        </w:tc>
        <w:tc>
          <w:tcPr>
            <w:tcW w:w="360" w:type="dxa"/>
            <w:shd w:val="clear" w:color="auto" w:fill="auto"/>
          </w:tcPr>
          <w:p w:rsidR="00A77B3E">
            <w:pPr>
              <w:pStyle w:val="mqspa"/>
              <w:jc w:val="left"/>
            </w:pPr>
            <w:r>
              <w:rPr>
                <w:noProof w:val="0"/>
              </w:rPr>
              <w:t>Los bancos centrales inician recortes de tasas para evitar que las tasas reales se vuelvan demasiado restrictivas, lo que beneficia a los activos de spread.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41</w:t>
              <w:br/>
            </w:r>
            <w:r>
              <w:rPr>
                <w:noProof/>
                <w:sz w:val="2"/>
              </w:rPr>
              <w:t>8a54058c-ceb7-46a6-a84f-5d6c2d17113d</w:t>
            </w:r>
          </w:p>
        </w:tc>
        <w:tc>
          <w:tcPr>
            <w:tcW w:w="360" w:type="dxa"/>
            <w:shd w:val="clear" w:color="auto" w:fill="F2F2F2"/>
          </w:tcPr>
          <w:p w:rsidR="00A77B3E">
            <w:pPr>
              <w:pStyle w:val="mqeng"/>
              <w:jc w:val="left"/>
            </w:pPr>
            <w:r>
              <w:rPr>
                <w:noProof/>
              </w:rPr>
              <w:t>Given the binary outlook, we remain cautious about adding risk and remain focus on selecting companies with strong fundamentals and attractive valuations.</w:t>
            </w:r>
          </w:p>
        </w:tc>
        <w:tc>
          <w:tcPr>
            <w:tcW w:w="360" w:type="dxa"/>
            <w:shd w:val="clear" w:color="auto" w:fill="auto"/>
          </w:tcPr>
          <w:p w:rsidR="00A77B3E">
            <w:pPr>
              <w:pStyle w:val="mqspa"/>
              <w:jc w:val="left"/>
            </w:pPr>
            <w:r>
              <w:rPr>
                <w:noProof w:val="0"/>
              </w:rPr>
              <w:t>Dada la perspectiva binaria, seguimos siendo cautelosos al agregar riesgo y nos mantenemos enfocados en seleccionar empresas con fundamentos sólidos y valoraciones atractivas.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42</w:t>
              <w:br/>
            </w:r>
            <w:r>
              <w:rPr>
                <w:noProof/>
                <w:sz w:val="2"/>
              </w:rPr>
              <w:t>f0a5ab47-8858-49f5-a72e-309e8df880da</w:t>
            </w:r>
          </w:p>
        </w:tc>
        <w:tc>
          <w:tcPr>
            <w:tcW w:w="360" w:type="dxa"/>
            <w:shd w:val="clear" w:color="auto" w:fill="F2F2F2"/>
          </w:tcPr>
          <w:p w:rsidR="00A77B3E">
            <w:pPr>
              <w:pStyle w:val="mqeng"/>
              <w:jc w:val="left"/>
            </w:pPr>
            <w:r>
              <w:rPr>
                <w:noProof/>
              </w:rPr>
              <w:t>Despite the increase in supply we saw in January, demand remained strong.</w:t>
            </w:r>
          </w:p>
        </w:tc>
        <w:tc>
          <w:tcPr>
            <w:tcW w:w="360" w:type="dxa"/>
            <w:shd w:val="clear" w:color="auto" w:fill="auto"/>
          </w:tcPr>
          <w:p w:rsidR="00A77B3E">
            <w:pPr>
              <w:pStyle w:val="mqspa"/>
              <w:jc w:val="left"/>
            </w:pPr>
            <w:r>
              <w:rPr>
                <w:noProof w:val="0"/>
              </w:rPr>
              <w:t>A pesar del aumento de la oferta que vimos en enero, la demanda se mantuvo fuerte.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43</w:t>
              <w:br/>
            </w:r>
            <w:r>
              <w:rPr>
                <w:noProof/>
                <w:sz w:val="2"/>
              </w:rPr>
              <w:t>44ab997f-b505-49b1-85a8-6be4e6328e5d</w:t>
            </w:r>
          </w:p>
        </w:tc>
        <w:tc>
          <w:tcPr>
            <w:tcW w:w="360" w:type="dxa"/>
            <w:shd w:val="clear" w:color="auto" w:fill="F2F2F2"/>
          </w:tcPr>
          <w:p w:rsidR="00A77B3E">
            <w:pPr>
              <w:pStyle w:val="mqeng"/>
              <w:jc w:val="left"/>
            </w:pPr>
            <w:r>
              <w:rPr>
                <w:noProof/>
              </w:rPr>
              <w:t>This continues to be a positive technical for the asset class.</w:t>
            </w:r>
          </w:p>
        </w:tc>
        <w:tc>
          <w:tcPr>
            <w:tcW w:w="360" w:type="dxa"/>
            <w:shd w:val="clear" w:color="auto" w:fill="auto"/>
          </w:tcPr>
          <w:p w:rsidR="00A77B3E">
            <w:pPr>
              <w:pStyle w:val="mqspa"/>
              <w:jc w:val="left"/>
            </w:pPr>
            <w:r>
              <w:rPr>
                <w:noProof w:val="0"/>
              </w:rPr>
              <w:t>Esto sigue siendo un factor técnico positivo para la clase de activos.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44</w:t>
              <w:br/>
            </w:r>
            <w:r>
              <w:rPr>
                <w:noProof/>
                <w:sz w:val="2"/>
              </w:rPr>
              <w:t>9836cf4f-42af-483b-9903-d4cee993328b</w:t>
            </w:r>
          </w:p>
        </w:tc>
        <w:tc>
          <w:tcPr>
            <w:tcW w:w="360" w:type="dxa"/>
            <w:shd w:val="clear" w:color="auto" w:fill="F2F2F2"/>
          </w:tcPr>
          <w:p w:rsidR="00A77B3E">
            <w:pPr>
              <w:pStyle w:val="mqeng"/>
              <w:jc w:val="left"/>
            </w:pPr>
            <w:r>
              <w:rPr>
                <w:noProof/>
              </w:rPr>
              <w:t>However, as we navigate interest rate cuts expectations and an approaching maturity wall, we remain cautious on the companies with increasing leverage and lower interest rate coverage ratios but positive on companies that continue to have reasonably good interest cover ratios and strong free cash flow measures.</w:t>
            </w:r>
          </w:p>
        </w:tc>
        <w:tc>
          <w:tcPr>
            <w:tcW w:w="360" w:type="dxa"/>
            <w:shd w:val="clear" w:color="auto" w:fill="auto"/>
          </w:tcPr>
          <w:p w:rsidR="00A77B3E">
            <w:pPr>
              <w:pStyle w:val="mqspa"/>
              <w:jc w:val="left"/>
            </w:pPr>
            <w:r>
              <w:rPr>
                <w:noProof w:val="0"/>
              </w:rPr>
              <w:t>Sin embargo, a medida que navegamos por las expectativas de recortes en las tasas de interés y una próxima pared de vencimiento, seguimos siendo cautelosos con las empresas que tienen un aumento de los ratios de cobertura y ratios de cobertura de interés más bajos, pero positivos con las empresas que continúan teniendo ratios de cobertura de interés razonablemente buenos y medidas de flujo de caja libre fuertes.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45</w:t>
              <w:br/>
            </w:r>
            <w:r>
              <w:rPr>
                <w:noProof/>
                <w:sz w:val="2"/>
              </w:rPr>
              <w:t>9b82007f-942a-438d-938c-7e69757cd54f</w:t>
            </w:r>
          </w:p>
        </w:tc>
        <w:tc>
          <w:tcPr>
            <w:tcW w:w="360" w:type="dxa"/>
            <w:shd w:val="clear" w:color="auto" w:fill="F2F2F2"/>
          </w:tcPr>
          <w:p w:rsidR="00A77B3E">
            <w:pPr>
              <w:pStyle w:val="mqeng"/>
              <w:jc w:val="left"/>
            </w:pPr>
            <w:r>
              <w:rPr>
                <w:noProof/>
              </w:rPr>
              <w:t>The deterioration in credit ratios is mild.</w:t>
            </w:r>
          </w:p>
        </w:tc>
        <w:tc>
          <w:tcPr>
            <w:tcW w:w="360" w:type="dxa"/>
            <w:shd w:val="clear" w:color="auto" w:fill="auto"/>
          </w:tcPr>
          <w:p w:rsidR="00A77B3E">
            <w:pPr>
              <w:pStyle w:val="mqspa"/>
              <w:jc w:val="left"/>
            </w:pPr>
            <w:r>
              <w:rPr>
                <w:noProof w:val="0"/>
              </w:rPr>
              <w:t>El deterioro de los ratios de crédito es leve.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46</w:t>
              <w:br/>
            </w:r>
            <w:r>
              <w:rPr>
                <w:noProof/>
                <w:sz w:val="2"/>
              </w:rPr>
              <w:t>bea8eff2-44d4-4dbf-b65a-17ccd1666639</w:t>
            </w:r>
          </w:p>
        </w:tc>
        <w:tc>
          <w:tcPr>
            <w:tcW w:w="360" w:type="dxa"/>
            <w:shd w:val="clear" w:color="auto" w:fill="F2F2F2"/>
          </w:tcPr>
          <w:p w:rsidR="00A77B3E">
            <w:pPr>
              <w:pStyle w:val="mqeng"/>
              <w:jc w:val="left"/>
            </w:pPr>
            <w:r>
              <w:rPr>
                <w:noProof/>
              </w:rPr>
              <w:t>However, we believe default rates are likely to peak at relatively low levels, with a slightly higher default rate in the US given it has a lower-quality high yield bond market than Europe.</w:t>
            </w:r>
          </w:p>
        </w:tc>
        <w:tc>
          <w:tcPr>
            <w:tcW w:w="360" w:type="dxa"/>
            <w:shd w:val="clear" w:color="auto" w:fill="auto"/>
          </w:tcPr>
          <w:p w:rsidR="00A77B3E">
            <w:pPr>
              <w:pStyle w:val="mqspa"/>
              <w:jc w:val="left"/>
            </w:pPr>
            <w:r>
              <w:rPr>
                <w:noProof w:val="0"/>
              </w:rPr>
              <w:t>Sin embargo, creemos que los tipos de impago probablemente alcanzarán niveles relativamente bajos, con un tipo de impago superior en EE. UU. dado que tiene un mercado de bonos de alta calidad inferior en comparación con Europa.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47</w:t>
              <w:br/>
            </w:r>
            <w:r>
              <w:rPr>
                <w:noProof/>
                <w:sz w:val="2"/>
              </w:rPr>
              <w:t>2963c5f6-7fac-4d70-9c51-5ae402215d96</w:t>
            </w:r>
          </w:p>
        </w:tc>
        <w:tc>
          <w:tcPr>
            <w:tcW w:w="360" w:type="dxa"/>
            <w:shd w:val="clear" w:color="auto" w:fill="F2F2F2"/>
          </w:tcPr>
          <w:p w:rsidR="00A77B3E">
            <w:pPr>
              <w:pStyle w:val="mqeng"/>
              <w:jc w:val="left"/>
            </w:pPr>
            <w:r>
              <w:rPr>
                <w:noProof/>
              </w:rPr>
              <w:t>Distress is concentrated in the real estate, telecommunications, media and pharmaceutical sectors.</w:t>
            </w:r>
          </w:p>
        </w:tc>
        <w:tc>
          <w:tcPr>
            <w:tcW w:w="360" w:type="dxa"/>
            <w:shd w:val="clear" w:color="auto" w:fill="auto"/>
          </w:tcPr>
          <w:p w:rsidR="00A77B3E">
            <w:pPr>
              <w:pStyle w:val="mqspa"/>
              <w:jc w:val="left"/>
            </w:pPr>
            <w:r>
              <w:rPr>
                <w:noProof w:val="0"/>
              </w:rPr>
              <w:t>El estrés se concentra en los sectores inmobiliario, telecomunicaciones, medios de comunicación y farmacéuticos.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48</w:t>
              <w:br/>
            </w:r>
            <w:r>
              <w:rPr>
                <w:noProof/>
                <w:sz w:val="2"/>
              </w:rPr>
              <w:t>58b887a4-acfe-45bc-b39e-a57c235027b6</w:t>
            </w:r>
          </w:p>
        </w:tc>
        <w:tc>
          <w:tcPr>
            <w:tcW w:w="360" w:type="dxa"/>
            <w:shd w:val="clear" w:color="auto" w:fill="F2F2F2"/>
          </w:tcPr>
          <w:p w:rsidR="00A77B3E">
            <w:pPr>
              <w:pStyle w:val="mqeng"/>
              <w:jc w:val="left"/>
            </w:pPr>
            <w:r>
              <w:rPr>
                <w:noProof/>
              </w:rPr>
              <w:t>Shifting work habits, debt loads and higher financing costs explain the problems in real estate, whereas the media sector has been struggling from weakness in cable operators and a general softening in advertising.</w:t>
            </w:r>
          </w:p>
        </w:tc>
        <w:tc>
          <w:tcPr>
            <w:tcW w:w="360" w:type="dxa"/>
            <w:shd w:val="clear" w:color="auto" w:fill="auto"/>
          </w:tcPr>
          <w:p w:rsidR="00A77B3E">
            <w:pPr>
              <w:pStyle w:val="mqspa"/>
              <w:jc w:val="left"/>
            </w:pPr>
            <w:r>
              <w:rPr>
                <w:noProof w:val="0"/>
              </w:rPr>
              <w:t>Los cambios en los hábitos laborales, las cargas de deuda y los mayores costos de financiamiento explican los problemas en el sector inmobiliario, mientras que el sector de los medios ha estado lidiando con la debilidad de los operadores de cable y un debilitamiento general en la publicidad.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49</w:t>
              <w:br/>
            </w:r>
            <w:r>
              <w:rPr>
                <w:noProof/>
                <w:sz w:val="2"/>
              </w:rPr>
              <w:t>4cdd5aa6-d9e6-4e56-a75a-54f3235fdeb1</w:t>
            </w:r>
          </w:p>
        </w:tc>
        <w:tc>
          <w:tcPr>
            <w:tcW w:w="360" w:type="dxa"/>
            <w:shd w:val="clear" w:color="auto" w:fill="F2F2F2"/>
          </w:tcPr>
          <w:p w:rsidR="00A77B3E">
            <w:pPr>
              <w:pStyle w:val="mqeng"/>
              <w:jc w:val="left"/>
            </w:pPr>
            <w:r>
              <w:rPr>
                <w:noProof/>
              </w:rPr>
              <w:t>In this macroeconomic and credit environment, where trajectory is uncertain and tail risks significant, we continue to draw on the expertise of our credit research team to select what we see as attractively priced, high-quality issues while also managing upside potential and downside risks in the portfolio.</w:t>
            </w:r>
          </w:p>
        </w:tc>
        <w:tc>
          <w:tcPr>
            <w:tcW w:w="360" w:type="dxa"/>
            <w:shd w:val="clear" w:color="auto" w:fill="auto"/>
          </w:tcPr>
          <w:p w:rsidR="00A77B3E">
            <w:pPr>
              <w:pStyle w:val="mqspa"/>
              <w:jc w:val="left"/>
            </w:pPr>
            <w:r>
              <w:rPr>
                <w:noProof w:val="0"/>
              </w:rPr>
              <w:t>En este entorno macroeconómico y de crédito, donde la trayectoria es incierta y los riesgos extremos son significativos, continuamos aprovechando la experiencia de nuestro equipo de investigación de crédito para seleccionar lo que consideramos emisiones de alta calidad a precios atractivos, al mismo tiempo que gestionamos el potencial de ganancias y los riesgos a la baja en la cartera.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50</w:t>
              <w:br/>
            </w:r>
            <w:r>
              <w:rPr>
                <w:noProof/>
                <w:sz w:val="2"/>
              </w:rPr>
              <w:t>addfd438-5a8b-44e8-a8e2-88452d0f8638</w:t>
            </w:r>
          </w:p>
        </w:tc>
        <w:tc>
          <w:tcPr>
            <w:tcW w:w="360" w:type="dxa"/>
            <w:shd w:val="clear" w:color="auto" w:fill="F2F2F2"/>
          </w:tcPr>
          <w:p w:rsidR="00A77B3E">
            <w:pPr>
              <w:pStyle w:val="mqeng"/>
              <w:jc w:val="left"/>
            </w:pPr>
            <w:r>
              <w:rPr>
                <w:noProof/>
              </w:rPr>
              <w:t>We feel a discriminating approach to security selection, combined with nimbleness in adding or removing risk from the portfolio, will be key to delivering attractive risk-adjusted returns.</w:t>
            </w:r>
          </w:p>
        </w:tc>
        <w:tc>
          <w:tcPr>
            <w:tcW w:w="360" w:type="dxa"/>
            <w:shd w:val="clear" w:color="auto" w:fill="auto"/>
          </w:tcPr>
          <w:p w:rsidR="00A77B3E">
            <w:pPr>
              <w:pStyle w:val="mqspa"/>
              <w:jc w:val="left"/>
            </w:pPr>
            <w:r>
              <w:rPr>
                <w:noProof w:val="0"/>
              </w:rPr>
              <w:t>Creemos que un enfoque discriminatorio en la selección de seguridad, combinado con agilidad para añadir o eliminar riesgo del portafolio, será clave para ofrecer atractivos rendimientos ajustados al riesgo.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51</w:t>
              <w:br/>
            </w:r>
            <w:r>
              <w:rPr>
                <w:noProof/>
                <w:sz w:val="2"/>
              </w:rPr>
              <w:t>5af418ec-a88c-4697-a4f4-cea646ed4654</w:t>
            </w:r>
          </w:p>
        </w:tc>
        <w:tc>
          <w:tcPr>
            <w:tcW w:w="360" w:type="dxa"/>
            <w:shd w:val="clear" w:color="auto" w:fill="F2F2F2"/>
          </w:tcPr>
          <w:p w:rsidR="00A77B3E">
            <w:pPr>
              <w:pStyle w:val="mqeng"/>
              <w:jc w:val="left"/>
            </w:pPr>
            <w:r>
              <w:rPr>
                <w:noProof/>
              </w:rPr>
              <w:t>Source:</w:t>
            </w:r>
          </w:p>
        </w:tc>
        <w:tc>
          <w:tcPr>
            <w:tcW w:w="360" w:type="dxa"/>
            <w:shd w:val="clear" w:color="auto" w:fill="auto"/>
          </w:tcPr>
          <w:p w:rsidR="00A77B3E">
            <w:pPr>
              <w:pStyle w:val="mqspa"/>
              <w:jc w:val="left"/>
            </w:pPr>
            <w:r>
              <w:rPr>
                <w:noProof w:val="0"/>
              </w:rPr>
              <w:t>Target:</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52</w:t>
              <w:br/>
            </w:r>
            <w:r>
              <w:rPr>
                <w:noProof/>
                <w:sz w:val="2"/>
              </w:rPr>
              <w:t>e49174b4-7d84-40d8-89e7-647c07720b40</w:t>
            </w:r>
          </w:p>
        </w:tc>
        <w:tc>
          <w:tcPr>
            <w:tcW w:w="360" w:type="dxa"/>
            <w:shd w:val="clear" w:color="auto" w:fill="F2F2F2"/>
          </w:tcPr>
          <w:p w:rsidR="00A77B3E">
            <w:pPr>
              <w:pStyle w:val="mqeng"/>
              <w:jc w:val="left"/>
            </w:pPr>
            <w:r>
              <w:rPr>
                <w:noProof/>
              </w:rPr>
              <w:t>Janus Henderson Investors, as at 31 January 2024</w:t>
            </w:r>
          </w:p>
        </w:tc>
        <w:tc>
          <w:tcPr>
            <w:tcW w:w="360" w:type="dxa"/>
            <w:shd w:val="clear" w:color="auto" w:fill="auto"/>
          </w:tcPr>
          <w:p w:rsidR="00A77B3E">
            <w:pPr>
              <w:pStyle w:val="mqspa"/>
              <w:jc w:val="left"/>
            </w:pPr>
            <w:r>
              <w:rPr>
                <w:noProof w:val="0"/>
              </w:rPr>
              <w:t>Janus Henderson Investors, a 31 de enero de 2024</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bl>
    <w:p w:rsidR="00A77B3E"/>
    <w:p w:rsidR="00A77B3E"/>
    <w:sectPr>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ahoma" w:eastAsia="Tahoma" w:hAnsi="Tahoma" w:cs="Tahoma"/>
      <w:sz w:val="20"/>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mqInternal">
    <w:name w:val="mqInternal"/>
    <w:rPr>
      <w:color w:val="800000"/>
    </w:rPr>
  </w:style>
  <w:style w:type="paragraph" w:customStyle="1" w:styleId="mqspa">
    <w:name w:val="mq:spa"/>
    <w:basedOn w:val="Normal"/>
    <w:rPr>
      <w:lang w:val="es-ES_tradnl" w:eastAsia="es-ES_tradnl" w:bidi="es-ES_tradnl"/>
    </w:rPr>
  </w:style>
  <w:style w:type="paragraph" w:customStyle="1" w:styleId="mqeng">
    <w:name w:val="mq:eng"/>
    <w:basedOn w:val="Normal"/>
    <w:rPr>
      <w:lang w:val="gd-GB" w:eastAsia="gd-GB" w:bidi="gd-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DCF03D63313F4B9E5FAF0CA42A5F40" ma:contentTypeVersion="19" ma:contentTypeDescription="Create a new document." ma:contentTypeScope="" ma:versionID="ad84825f676abcf08bcdb942be82467c">
  <xsd:schema xmlns:xsd="http://www.w3.org/2001/XMLSchema" xmlns:xs="http://www.w3.org/2001/XMLSchema" xmlns:p="http://schemas.microsoft.com/office/2006/metadata/properties" xmlns:ns2="3d880aeb-51c9-45a9-a1f8-31e2d921e8bc" xmlns:ns3="03275443-a1be-471a-a2c8-5dfd7eb405c0" targetNamespace="http://schemas.microsoft.com/office/2006/metadata/properties" ma:root="true" ma:fieldsID="cf9ff27b2947d2f0ce0749925c07ccd6" ns2:_="" ns3:_="">
    <xsd:import namespace="3d880aeb-51c9-45a9-a1f8-31e2d921e8bc"/>
    <xsd:import namespace="03275443-a1be-471a-a2c8-5dfd7eb405c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80aeb-51c9-45a9-a1f8-31e2d921e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0a23d72-b190-4a68-b8b8-c59ef18e839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75443-a1be-471a-a2c8-5dfd7eb405c0"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182ffc3-fb15-4dfe-aca4-e705a0ba018c}" ma:internalName="TaxCatchAll" ma:showField="CatchAllData" ma:web="03275443-a1be-471a-a2c8-5dfd7eb405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d880aeb-51c9-45a9-a1f8-31e2d921e8bc">
      <Terms xmlns="http://schemas.microsoft.com/office/infopath/2007/PartnerControls"/>
    </lcf76f155ced4ddcb4097134ff3c332f>
    <TaxCatchAll xmlns="03275443-a1be-471a-a2c8-5dfd7eb405c0" xsi:nil="true"/>
  </documentManagement>
</p:properties>
</file>

<file path=customXml/itemProps1.xml><?xml version="1.0" encoding="utf-8"?>
<ds:datastoreItem xmlns:ds="http://schemas.openxmlformats.org/officeDocument/2006/customXml" ds:itemID="{CF3EA21A-44E8-45E1-8115-FDC2940E32E0}"/>
</file>

<file path=customXml/itemProps2.xml><?xml version="1.0" encoding="utf-8"?>
<ds:datastoreItem xmlns:ds="http://schemas.openxmlformats.org/officeDocument/2006/customXml" ds:itemID="{E42AB8A7-B13F-44D0-BCAF-030AD40524EF}"/>
</file>

<file path=customXml/itemProps3.xml><?xml version="1.0" encoding="utf-8"?>
<ds:datastoreItem xmlns:ds="http://schemas.openxmlformats.org/officeDocument/2006/customXml" ds:itemID="{0D13CAC6-FDD6-4F50-9D92-CD06B020F589}"/>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asCommentColumn">
    <vt:bool>true</vt:bool>
  </property>
  <property fmtid="{D5CDD505-2E9C-101B-9397-08002B2CF9AE}" pid="3" name="HasStatusColumn">
    <vt:bool>true</vt:bool>
  </property>
  <property fmtid="{D5CDD505-2E9C-101B-9397-08002B2CF9AE}" pid="4" name="HasTwoTargetColumn">
    <vt:bool>false</vt:bool>
  </property>
  <property fmtid="{D5CDD505-2E9C-101B-9397-08002B2CF9AE}" pid="5" name="memoQVersion">
    <vt:lpwstr>11.6.10</vt:lpwstr>
  </property>
  <property fmtid="{D5CDD505-2E9C-101B-9397-08002B2CF9AE}" pid="6" name="ContentTypeId">
    <vt:lpwstr>0x010100B9DCF03D63313F4B9E5FAF0CA42A5F40</vt:lpwstr>
  </property>
</Properties>
</file>