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3.10.0 -->
  <w:body>
    <w:tbl>
      <w:tblPr>
        <w:tblCaption w:val="TableDocxTableTitle"/>
        <w:tblDescription w:val="7a4e27e1-9a89-4c09-a712-838cf6b2c3e9"/>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
      <w:tblGrid>
        <w:gridCol w:w="670"/>
        <w:gridCol w:w="6032"/>
        <w:gridCol w:w="6032"/>
        <w:gridCol w:w="1217"/>
        <w:gridCol w:w="1663"/>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PrEx>
        <w:tc>
          <w:tcPr>
            <w:tcW w:w="1800" w:type="dxa"/>
            <w:gridSpan w:val="5"/>
            <w:shd w:val="clear" w:color="auto" w:fill="F2F2F2"/>
          </w:tcPr>
          <w:p w:rsidR="00A77B3E">
            <w:pPr>
              <w:jc w:val="center"/>
              <w:rPr>
                <w:b/>
                <w:i w:val="0"/>
                <w:noProof/>
                <w:u w:val="none"/>
                <w:vertAlign w:val="baseline"/>
              </w:rPr>
            </w:pPr>
            <w:r>
              <w:rPr>
                <w:b/>
                <w:i w:val="0"/>
                <w:noProof/>
                <w:u w:val="none"/>
                <w:vertAlign w:val="baseline"/>
              </w:rPr>
              <w:t>4802_HHFGHY_EN_M_31012024.docx</w:t>
            </w:r>
          </w:p>
          <w:p w:rsidR="00A77B3E">
            <w:pPr>
              <w:jc w:val="center"/>
              <w:rPr>
                <w:b/>
                <w:i w:val="0"/>
                <w:noProof/>
                <w:u w:val="none"/>
                <w:vertAlign w:val="baseline"/>
              </w:rPr>
            </w:pPr>
            <w:r>
              <w:rPr>
                <w:b/>
                <w:i w:val="0"/>
                <w:noProof/>
                <w:u w:val="none"/>
                <w:vertAlign w:val="baseline"/>
              </w:rPr>
              <w:t>Important! Don’t change segment ID or source text.</w:t>
            </w:r>
          </w:p>
          <w:p w:rsidR="00A77B3E">
            <w:pPr>
              <w:jc w:val="center"/>
              <w:rPr>
                <w:b/>
                <w:i w:val="0"/>
                <w:noProof/>
                <w:u w:val="none"/>
                <w:vertAlign w:val="baseline"/>
              </w:rPr>
            </w:pPr>
            <w:r>
              <w:rPr>
                <w:b/>
                <w:i w:val="0"/>
                <w:noProof/>
                <w:u w:val="none"/>
                <w:vertAlign w:val="baseline"/>
              </w:rPr>
              <w:t>V11.6.10 7a4e27e1-9a89-4c09-a712-838cf6b2c3e9</w:t>
            </w:r>
          </w:p>
        </w:tc>
      </w:tr>
      <w:tr>
        <w:tblPrEx>
          <w:tblW w:w="5000" w:type="pct"/>
          <w:tblCellMar>
            <w:left w:w="108" w:type="dxa"/>
            <w:right w:w="108" w:type="dxa"/>
          </w:tblCellMar>
        </w:tblPrEx>
        <w:tc>
          <w:tcPr>
            <w:tcW w:w="660" w:type="dxa"/>
            <w:shd w:val="clear" w:color="auto" w:fill="F2F2F2"/>
          </w:tcPr>
          <w:p w:rsidR="00A77B3E">
            <w:pPr>
              <w:jc w:val="left"/>
              <w:rPr>
                <w:b/>
                <w:i w:val="0"/>
                <w:noProof/>
                <w:u w:val="none"/>
                <w:vertAlign w:val="baseline"/>
              </w:rPr>
            </w:pPr>
            <w:r>
              <w:rPr>
                <w:b/>
                <w:i w:val="0"/>
                <w:noProof/>
                <w:u w:val="none"/>
                <w:vertAlign w:val="baseline"/>
              </w:rPr>
              <w:t>ID</w:t>
            </w:r>
          </w:p>
        </w:tc>
        <w:tc>
          <w:tcPr>
            <w:tcW w:w="5949" w:type="dxa"/>
            <w:shd w:val="clear" w:color="auto" w:fill="F2F2F2"/>
          </w:tcPr>
          <w:p w:rsidR="00A77B3E">
            <w:pPr>
              <w:jc w:val="left"/>
              <w:rPr>
                <w:b/>
                <w:i w:val="0"/>
                <w:noProof/>
                <w:u w:val="none"/>
                <w:vertAlign w:val="baseline"/>
              </w:rPr>
            </w:pPr>
            <w:r>
              <w:rPr>
                <w:b/>
                <w:i w:val="0"/>
                <w:noProof/>
                <w:u w:val="none"/>
                <w:vertAlign w:val="baseline"/>
              </w:rPr>
              <w:t>English</w:t>
            </w:r>
          </w:p>
        </w:tc>
        <w:tc>
          <w:tcPr>
            <w:tcW w:w="5949" w:type="dxa"/>
            <w:shd w:val="clear" w:color="auto" w:fill="F2F2F2"/>
          </w:tcPr>
          <w:p w:rsidR="00A77B3E">
            <w:pPr>
              <w:jc w:val="left"/>
              <w:rPr>
                <w:b/>
                <w:i w:val="0"/>
                <w:noProof/>
                <w:u w:val="none"/>
                <w:vertAlign w:val="baseline"/>
              </w:rPr>
            </w:pPr>
            <w:r>
              <w:rPr>
                <w:b/>
                <w:i w:val="0"/>
                <w:noProof/>
                <w:u w:val="none"/>
                <w:vertAlign w:val="baseline"/>
              </w:rPr>
              <w:t>Spanish</w:t>
            </w:r>
          </w:p>
        </w:tc>
        <w:tc>
          <w:tcPr>
            <w:tcW w:w="1200" w:type="dxa"/>
            <w:shd w:val="clear" w:color="auto" w:fill="F2F2F2"/>
          </w:tcPr>
          <w:p w:rsidR="00A77B3E">
            <w:pPr>
              <w:jc w:val="left"/>
              <w:rPr>
                <w:b/>
                <w:i w:val="0"/>
                <w:noProof/>
                <w:u w:val="none"/>
                <w:vertAlign w:val="baseline"/>
              </w:rPr>
            </w:pPr>
            <w:r>
              <w:rPr>
                <w:b/>
                <w:i w:val="0"/>
                <w:noProof/>
                <w:u w:val="none"/>
                <w:vertAlign w:val="baseline"/>
              </w:rPr>
              <w:t>Comment</w:t>
            </w:r>
          </w:p>
        </w:tc>
        <w:tc>
          <w:tcPr>
            <w:tcW w:w="1640" w:type="dxa"/>
            <w:shd w:val="clear" w:color="auto" w:fill="F2F2F2"/>
          </w:tcPr>
          <w:p w:rsidR="00A77B3E">
            <w:pPr>
              <w:jc w:val="left"/>
            </w:pPr>
            <w:r>
              <w:rPr>
                <w:b/>
                <w:i w:val="0"/>
                <w:noProof/>
                <w:u w:val="none"/>
                <w:vertAlign w:val="baseline"/>
              </w:rPr>
              <w:t>Status</w:t>
            </w:r>
          </w:p>
        </w:tc>
      </w:tr>
      <w:tr>
        <w:tblPrEx>
          <w:tblW w:w="5000" w:type="pct"/>
          <w:tblCellMar>
            <w:left w:w="108" w:type="dxa"/>
            <w:right w:w="108" w:type="dxa"/>
          </w:tblCellMar>
        </w:tblPrEx>
        <w:tc>
          <w:tcPr>
            <w:tcW w:w="360" w:type="dxa"/>
            <w:shd w:val="clear" w:color="auto" w:fill="F2F2F2"/>
          </w:tcPr>
          <w:p w:rsidR="00A77B3E">
            <w:pPr>
              <w:jc w:val="left"/>
            </w:pPr>
            <w:r>
              <w:rPr>
                <w:noProof/>
                <w:sz w:val="16"/>
              </w:rPr>
              <w:t>1</w:t>
              <w:br/>
            </w:r>
            <w:r>
              <w:rPr>
                <w:noProof/>
                <w:sz w:val="2"/>
              </w:rPr>
              <w:t>9d237975-8fcd-49b4-bd0c-02dcc6ac6b57</w:t>
            </w:r>
          </w:p>
        </w:tc>
        <w:tc>
          <w:tcPr>
            <w:tcW w:w="360" w:type="dxa"/>
            <w:shd w:val="clear" w:color="auto" w:fill="F2F2F2"/>
          </w:tcPr>
          <w:p w:rsidR="00A77B3E">
            <w:pPr>
              <w:pStyle w:val="mqeng"/>
              <w:jc w:val="left"/>
            </w:pPr>
            <w:r>
              <w:rPr>
                <w:b/>
                <w:i w:val="0"/>
                <w:noProof/>
                <w:u w:val="none"/>
                <w:vertAlign w:val="baseline"/>
              </w:rPr>
              <w:t>Investment environment</w:t>
            </w:r>
          </w:p>
        </w:tc>
        <w:tc>
          <w:tcPr>
            <w:tcW w:w="360" w:type="dxa"/>
            <w:shd w:val="clear" w:color="auto" w:fill="auto"/>
          </w:tcPr>
          <w:p w:rsidR="00A77B3E">
            <w:pPr>
              <w:pStyle w:val="mqspa"/>
              <w:jc w:val="left"/>
            </w:pPr>
            <w:r>
              <w:rPr>
                <w:b/>
                <w:i w:val="0"/>
                <w:noProof w:val="0"/>
                <w:u w:val="none"/>
                <w:vertAlign w:val="baseline"/>
              </w:rPr>
              <w:t>Investment environment</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r>
          </w:p>
        </w:tc>
      </w:tr>
      <w:tr>
        <w:tblPrEx>
          <w:tblW w:w="5000" w:type="pct"/>
          <w:tblCellMar>
            <w:left w:w="108" w:type="dxa"/>
            <w:right w:w="108" w:type="dxa"/>
          </w:tblCellMar>
        </w:tblPrEx>
        <w:tc>
          <w:tcPr>
            <w:tcW w:w="360" w:type="dxa"/>
            <w:shd w:val="clear" w:color="auto" w:fill="F2F2F2"/>
          </w:tcPr>
          <w:p w:rsidR="00A77B3E">
            <w:pPr>
              <w:jc w:val="left"/>
            </w:pPr>
            <w:r>
              <w:rPr>
                <w:noProof/>
                <w:sz w:val="16"/>
              </w:rPr>
              <w:t>2</w:t>
              <w:br/>
            </w:r>
            <w:r>
              <w:rPr>
                <w:noProof/>
                <w:sz w:val="2"/>
              </w:rPr>
              <w:t>bb382053-9da4-40b3-a946-a44a799fcd7c</w:t>
            </w:r>
          </w:p>
        </w:tc>
        <w:tc>
          <w:tcPr>
            <w:tcW w:w="360" w:type="dxa"/>
            <w:shd w:val="clear" w:color="auto" w:fill="F2F2F2"/>
          </w:tcPr>
          <w:p w:rsidR="00A77B3E">
            <w:pPr>
              <w:pStyle w:val="mqeng"/>
              <w:jc w:val="left"/>
            </w:pPr>
            <w:r>
              <w:rPr>
                <w:noProof/>
              </w:rPr>
              <w:t>Fixed income markets cooled slightly in January following the strong rally at the end of last year, and the global high yield bond market made a small positive return.</w:t>
            </w:r>
          </w:p>
        </w:tc>
        <w:tc>
          <w:tcPr>
            <w:tcW w:w="360" w:type="dxa"/>
            <w:shd w:val="clear" w:color="auto" w:fill="auto"/>
          </w:tcPr>
          <w:p w:rsidR="00A77B3E">
            <w:pPr>
              <w:pStyle w:val="mqspa"/>
              <w:jc w:val="left"/>
            </w:pPr>
            <w:r>
              <w:rPr>
                <w:noProof w:val="0"/>
              </w:rPr>
              <w:t xml:space="preserve">Los mercados de renta fija experimentaron un ligero enfriamiento en enero tras registrar un marcado repunte a finales del año pasado, y el mercado mundial de bonos </w:t>
            </w:r>
            <w:r>
              <w:rPr>
                <w:b w:val="0"/>
                <w:i/>
                <w:noProof w:val="0"/>
                <w:u w:val="none"/>
                <w:vertAlign w:val="baseline"/>
              </w:rPr>
              <w:t>high yield</w:t>
            </w:r>
            <w:r>
              <w:rPr>
                <w:b w:val="0"/>
                <w:i w:val="0"/>
                <w:noProof w:val="0"/>
                <w:u w:val="none"/>
                <w:vertAlign w:val="baseline"/>
              </w:rPr>
              <w:t xml:space="preserve"> cosechó una ligera rentabilidad positiva.</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w:t>
              <w:br/>
            </w:r>
            <w:r>
              <w:rPr>
                <w:noProof/>
                <w:sz w:val="2"/>
              </w:rPr>
              <w:t>7ffd4b73-f750-4b98-8621-eaba659f6c59</w:t>
            </w:r>
          </w:p>
        </w:tc>
        <w:tc>
          <w:tcPr>
            <w:tcW w:w="360" w:type="dxa"/>
            <w:shd w:val="clear" w:color="auto" w:fill="F2F2F2"/>
          </w:tcPr>
          <w:p w:rsidR="00A77B3E">
            <w:pPr>
              <w:pStyle w:val="mqeng"/>
              <w:jc w:val="left"/>
            </w:pPr>
            <w:r>
              <w:rPr>
                <w:noProof/>
              </w:rPr>
              <w:t>Excess returns were positive.</w:t>
            </w:r>
          </w:p>
        </w:tc>
        <w:tc>
          <w:tcPr>
            <w:tcW w:w="360" w:type="dxa"/>
            <w:shd w:val="clear" w:color="auto" w:fill="auto"/>
          </w:tcPr>
          <w:p w:rsidR="00A77B3E">
            <w:pPr>
              <w:pStyle w:val="mqspa"/>
              <w:jc w:val="left"/>
            </w:pPr>
            <w:r>
              <w:rPr>
                <w:noProof w:val="0"/>
              </w:rPr>
              <w:t>Las rentabilidades superiores se revelaron positivas.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w:t>
              <w:br/>
            </w:r>
            <w:r>
              <w:rPr>
                <w:noProof/>
                <w:sz w:val="2"/>
              </w:rPr>
              <w:t>68a93511-21be-4547-a2c1-b1ca7a374062</w:t>
            </w:r>
          </w:p>
        </w:tc>
        <w:tc>
          <w:tcPr>
            <w:tcW w:w="360" w:type="dxa"/>
            <w:shd w:val="clear" w:color="auto" w:fill="F2F2F2"/>
          </w:tcPr>
          <w:p w:rsidR="00A77B3E">
            <w:pPr>
              <w:pStyle w:val="mqeng"/>
              <w:jc w:val="left"/>
            </w:pPr>
            <w:r>
              <w:rPr>
                <w:noProof/>
              </w:rPr>
              <w:t>US high yield bond spreads widened over the month in response to the market's solid performance in the fourth quarter and as stronger-than-expected macroeconomic data dashed investor hopes for earlier interest rate cuts.</w:t>
            </w:r>
          </w:p>
        </w:tc>
        <w:tc>
          <w:tcPr>
            <w:tcW w:w="360" w:type="dxa"/>
            <w:shd w:val="clear" w:color="auto" w:fill="auto"/>
          </w:tcPr>
          <w:p w:rsidR="00A77B3E">
            <w:pPr>
              <w:pStyle w:val="mqspa"/>
              <w:jc w:val="left"/>
            </w:pPr>
            <w:r>
              <w:rPr>
                <w:noProof w:val="0"/>
              </w:rPr>
              <w:t xml:space="preserve">Los diferenciales de los bonos </w:t>
            </w:r>
            <w:r>
              <w:rPr>
                <w:b w:val="0"/>
                <w:i/>
                <w:noProof w:val="0"/>
                <w:u w:val="none"/>
                <w:vertAlign w:val="baseline"/>
              </w:rPr>
              <w:t xml:space="preserve">high yield </w:t>
            </w:r>
            <w:r>
              <w:rPr>
                <w:b w:val="0"/>
                <w:i w:val="0"/>
                <w:noProof w:val="0"/>
                <w:u w:val="none"/>
                <w:vertAlign w:val="baseline"/>
              </w:rPr>
              <w:t>estadounidenses se ampliaron durante el mes ante el buen desempeño que firmó el mercado en el cuarto trimestre y en un contexto en el que los datos macroeconómicos mostraron mayor solidez de la esperada, lo que frustró las esperanzas de los inversores de que los recortes de los tipos de interés se fuesen a producir antes de lo esperado.</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5</w:t>
              <w:br/>
            </w:r>
            <w:r>
              <w:rPr>
                <w:noProof/>
                <w:sz w:val="2"/>
              </w:rPr>
              <w:t>3411ef1c-5670-490e-8c35-eb088ff696b6</w:t>
            </w:r>
          </w:p>
        </w:tc>
        <w:tc>
          <w:tcPr>
            <w:tcW w:w="360" w:type="dxa"/>
            <w:shd w:val="clear" w:color="auto" w:fill="F2F2F2"/>
          </w:tcPr>
          <w:p w:rsidR="00A77B3E">
            <w:pPr>
              <w:pStyle w:val="mqeng"/>
              <w:jc w:val="left"/>
            </w:pPr>
            <w:r>
              <w:rPr>
                <w:noProof/>
              </w:rPr>
              <w:t>Fourth-quarter GDP in the US grew by a much stronger-than-expected 3.3% (annualised), albeit down from 4.9% in the third quarter, and the jobs market remained buoyant.</w:t>
            </w:r>
          </w:p>
        </w:tc>
        <w:tc>
          <w:tcPr>
            <w:tcW w:w="360" w:type="dxa"/>
            <w:shd w:val="clear" w:color="auto" w:fill="auto"/>
          </w:tcPr>
          <w:p w:rsidR="00A77B3E">
            <w:pPr>
              <w:pStyle w:val="mqspa"/>
              <w:jc w:val="left"/>
            </w:pPr>
            <w:r>
              <w:rPr>
                <w:noProof w:val="0"/>
              </w:rPr>
              <w:t>En Estados Unidos, el crecimiento del PIB del cuarto trimestre superó con creces las expectativas, que apuntaban a un crecimiento del 3,3% en términos anualizados, si bien se sitúo por debajo del 4,9% que observamos en el tercer trimestre. Por su parte, el mercado laboral se mantuvo en niveles boyantes.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6</w:t>
              <w:br/>
            </w:r>
            <w:r>
              <w:rPr>
                <w:noProof/>
                <w:sz w:val="2"/>
              </w:rPr>
              <w:t>db4953e2-0826-4823-9711-1146976ea252</w:t>
            </w:r>
          </w:p>
        </w:tc>
        <w:tc>
          <w:tcPr>
            <w:tcW w:w="360" w:type="dxa"/>
            <w:shd w:val="clear" w:color="auto" w:fill="F2F2F2"/>
          </w:tcPr>
          <w:p w:rsidR="00A77B3E">
            <w:pPr>
              <w:pStyle w:val="mqeng"/>
              <w:jc w:val="left"/>
            </w:pPr>
            <w:r>
              <w:rPr>
                <w:noProof/>
              </w:rPr>
              <w:t>The economy's strength continued to fuel the 'soft-landing' narrative of last year, but it also raised doubts during the month about when the US Federal Reserve (Fed) would start to loosen monetary policy.</w:t>
            </w:r>
          </w:p>
        </w:tc>
        <w:tc>
          <w:tcPr>
            <w:tcW w:w="360" w:type="dxa"/>
            <w:shd w:val="clear" w:color="auto" w:fill="auto"/>
          </w:tcPr>
          <w:p w:rsidR="00A77B3E">
            <w:pPr>
              <w:pStyle w:val="mqspa"/>
              <w:jc w:val="left"/>
            </w:pPr>
            <w:r>
              <w:rPr>
                <w:noProof w:val="0"/>
              </w:rPr>
              <w:t>La fortaleza de la economía continuó alimentando el discurso del año pasado que sostiene que la economía protagonizará un «aterrizaje suave», pero también suscitó dudas durante el mes sobre cuándo empezaría la Reserva Federal estadounidense (Fed) a flexibilizar su política monetaria.</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7</w:t>
              <w:br/>
            </w:r>
            <w:r>
              <w:rPr>
                <w:noProof/>
                <w:sz w:val="2"/>
              </w:rPr>
              <w:t>271e7c5e-62af-4639-a941-731ea3926b29</w:t>
            </w:r>
          </w:p>
        </w:tc>
        <w:tc>
          <w:tcPr>
            <w:tcW w:w="360" w:type="dxa"/>
            <w:shd w:val="clear" w:color="auto" w:fill="F2F2F2"/>
          </w:tcPr>
          <w:p w:rsidR="00A77B3E">
            <w:pPr>
              <w:pStyle w:val="mqeng"/>
              <w:jc w:val="left"/>
            </w:pPr>
            <w:r>
              <w:rPr>
                <w:noProof/>
              </w:rPr>
              <w:t>Indeed, the Fed held rates steady at its meeting at month end, and Chair Jerome Powell pushed back on imminent interest rate cuts as inflation remains too high.</w:t>
            </w:r>
          </w:p>
        </w:tc>
        <w:tc>
          <w:tcPr>
            <w:tcW w:w="360" w:type="dxa"/>
            <w:shd w:val="clear" w:color="auto" w:fill="auto"/>
          </w:tcPr>
          <w:p w:rsidR="00A77B3E">
            <w:pPr>
              <w:pStyle w:val="mqspa"/>
              <w:jc w:val="left"/>
            </w:pPr>
            <w:r>
              <w:rPr>
                <w:noProof w:val="0"/>
              </w:rPr>
              <w:t>En efecto, la Fed mantuvo los tipos inalterados en la reunión que celebró a finales de mes, y el presidente de la institución, Jerome Powell, rechazó la idea de llevar a cabo recortes de tipos de forma inminente, habida cuenta de que la inflación continúa situándose en cotas demasiado elevadas.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8</w:t>
              <w:br/>
            </w:r>
            <w:r>
              <w:rPr>
                <w:noProof/>
                <w:sz w:val="2"/>
              </w:rPr>
              <w:t>78537b6e-f0f7-4391-b992-4d4fc6c51821</w:t>
            </w:r>
          </w:p>
        </w:tc>
        <w:tc>
          <w:tcPr>
            <w:tcW w:w="360" w:type="dxa"/>
            <w:shd w:val="clear" w:color="auto" w:fill="F2F2F2"/>
          </w:tcPr>
          <w:p w:rsidR="00A77B3E">
            <w:pPr>
              <w:pStyle w:val="mqeng"/>
              <w:jc w:val="left"/>
            </w:pPr>
            <w:r>
              <w:rPr>
                <w:noProof/>
              </w:rPr>
              <w:t>In Europe, high yield bond spreads tightened as demand for the asset class increased.</w:t>
            </w:r>
          </w:p>
        </w:tc>
        <w:tc>
          <w:tcPr>
            <w:tcW w:w="360" w:type="dxa"/>
            <w:shd w:val="clear" w:color="auto" w:fill="auto"/>
          </w:tcPr>
          <w:p w:rsidR="00A77B3E">
            <w:pPr>
              <w:pStyle w:val="mqspa"/>
              <w:jc w:val="left"/>
            </w:pPr>
            <w:r>
              <w:rPr>
                <w:noProof w:val="0"/>
              </w:rPr>
              <w:t xml:space="preserve">En Europa, los diferenciales de los bonos </w:t>
            </w:r>
            <w:r>
              <w:rPr>
                <w:b w:val="0"/>
                <w:i/>
                <w:noProof w:val="0"/>
                <w:u w:val="none"/>
                <w:vertAlign w:val="baseline"/>
              </w:rPr>
              <w:t>high yield</w:t>
            </w:r>
            <w:r>
              <w:rPr>
                <w:b w:val="0"/>
                <w:i w:val="0"/>
                <w:noProof w:val="0"/>
                <w:u w:val="none"/>
                <w:vertAlign w:val="baseline"/>
              </w:rPr>
              <w:t xml:space="preserve"> se estrecharon ante el aumento de la demanda de esta clase de activos.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9</w:t>
              <w:br/>
            </w:r>
            <w:r>
              <w:rPr>
                <w:noProof/>
                <w:sz w:val="2"/>
              </w:rPr>
              <w:t>2398378e-b3c5-4fc5-bb97-1395943bf0a7</w:t>
            </w:r>
          </w:p>
        </w:tc>
        <w:tc>
          <w:tcPr>
            <w:tcW w:w="360" w:type="dxa"/>
            <w:shd w:val="clear" w:color="auto" w:fill="F2F2F2"/>
          </w:tcPr>
          <w:p w:rsidR="00A77B3E">
            <w:pPr>
              <w:pStyle w:val="mqeng"/>
              <w:jc w:val="left"/>
            </w:pPr>
            <w:r>
              <w:rPr>
                <w:noProof/>
              </w:rPr>
              <w:t>The European Central Bank (ECB) also held rates steady, but highlighted easing pricing pressures, which increased expectations that policymakers could loosen monetary policy as early as April.</w:t>
            </w:r>
          </w:p>
        </w:tc>
        <w:tc>
          <w:tcPr>
            <w:tcW w:w="360" w:type="dxa"/>
            <w:shd w:val="clear" w:color="auto" w:fill="auto"/>
          </w:tcPr>
          <w:p w:rsidR="00A77B3E">
            <w:pPr>
              <w:pStyle w:val="mqspa"/>
              <w:jc w:val="left"/>
            </w:pPr>
            <w:r>
              <w:rPr>
                <w:noProof w:val="0"/>
              </w:rPr>
              <w:t>El Banco Central Europeo (BCE) también mantuvo los tipos sin cambios, pero hizo hincapié en la mitigación de las presiones sobre los precios, lo que se tradujo en un aumento de las expectativas de que las autoridades pudiesen empezar a flexibilizar la política monetaria ya en abril.</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10</w:t>
              <w:br/>
            </w:r>
            <w:r>
              <w:rPr>
                <w:noProof/>
                <w:sz w:val="2"/>
              </w:rPr>
              <w:t>db4dca51-8628-4840-9d9c-5b2511166879</w:t>
            </w:r>
          </w:p>
        </w:tc>
        <w:tc>
          <w:tcPr>
            <w:tcW w:w="360" w:type="dxa"/>
            <w:shd w:val="clear" w:color="auto" w:fill="F2F2F2"/>
          </w:tcPr>
          <w:p w:rsidR="00A77B3E">
            <w:pPr>
              <w:pStyle w:val="mqeng"/>
              <w:jc w:val="left"/>
            </w:pPr>
            <w:r>
              <w:rPr>
                <w:noProof/>
              </w:rPr>
              <w:t>Meanwhile, concerns around supply chains flared up once again, with the US and UK conducted airstrikes on Houthi militants in Yemen following attacks on shipping in the Red Sea.</w:t>
            </w:r>
          </w:p>
        </w:tc>
        <w:tc>
          <w:tcPr>
            <w:tcW w:w="360" w:type="dxa"/>
            <w:shd w:val="clear" w:color="auto" w:fill="auto"/>
          </w:tcPr>
          <w:p w:rsidR="00A77B3E">
            <w:pPr>
              <w:pStyle w:val="mqspa"/>
              <w:jc w:val="left"/>
            </w:pPr>
            <w:r>
              <w:rPr>
                <w:noProof w:val="0"/>
              </w:rPr>
              <w:t>Entretanto, las preocupaciones sobre las cadenas de suministro volvieron a repuntar en una coyuntura en la que EE. UU. y el Reino Unido llevaron a cabo una serie de ataques aéreos contra militantes hutíes radicados en Yemen después de que estos últimos atacasen buques de transporte marítimo en el mar Rojo.</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11</w:t>
              <w:br/>
            </w:r>
            <w:r>
              <w:rPr>
                <w:noProof/>
                <w:sz w:val="2"/>
              </w:rPr>
              <w:t>e28fb0b5-a80b-4c25-b90a-e213045b272d</w:t>
            </w:r>
          </w:p>
        </w:tc>
        <w:tc>
          <w:tcPr>
            <w:tcW w:w="360" w:type="dxa"/>
            <w:shd w:val="clear" w:color="auto" w:fill="F2F2F2"/>
          </w:tcPr>
          <w:p w:rsidR="00A77B3E">
            <w:pPr>
              <w:pStyle w:val="mqeng"/>
              <w:jc w:val="left"/>
            </w:pPr>
            <w:r>
              <w:rPr>
                <w:noProof/>
              </w:rPr>
              <w:t>European and emerging market high yield bonds performed positively and broadly in line, while US high yield posted a negative excess return.</w:t>
            </w:r>
          </w:p>
        </w:tc>
        <w:tc>
          <w:tcPr>
            <w:tcW w:w="360" w:type="dxa"/>
            <w:shd w:val="clear" w:color="auto" w:fill="auto"/>
          </w:tcPr>
          <w:p w:rsidR="00A77B3E">
            <w:pPr>
              <w:pStyle w:val="mqspa"/>
              <w:jc w:val="left"/>
            </w:pPr>
            <w:r>
              <w:rPr>
                <w:noProof w:val="0"/>
              </w:rPr>
              <w:t>Los bonos</w:t>
            </w:r>
            <w:r>
              <w:rPr>
                <w:b w:val="0"/>
                <w:i/>
                <w:noProof w:val="0"/>
                <w:u w:val="none"/>
                <w:vertAlign w:val="baseline"/>
              </w:rPr>
              <w:t xml:space="preserve"> high yield</w:t>
            </w:r>
            <w:r>
              <w:rPr>
                <w:b w:val="0"/>
                <w:i w:val="0"/>
                <w:noProof w:val="0"/>
                <w:u w:val="none"/>
                <w:vertAlign w:val="baseline"/>
              </w:rPr>
              <w:t xml:space="preserve"> europeos y emergentes registraron una trayectoria positiva y evolucionaron de forma muy similar, mientras que el </w:t>
            </w:r>
            <w:r>
              <w:rPr>
                <w:b w:val="0"/>
                <w:i/>
                <w:noProof w:val="0"/>
                <w:u w:val="none"/>
                <w:vertAlign w:val="baseline"/>
              </w:rPr>
              <w:t>high yield</w:t>
            </w:r>
            <w:r>
              <w:rPr>
                <w:b w:val="0"/>
                <w:i w:val="0"/>
                <w:noProof w:val="0"/>
                <w:u w:val="none"/>
                <w:vertAlign w:val="baseline"/>
              </w:rPr>
              <w:t xml:space="preserve"> estadounidense cosechó una rentabilidad superior negativa.</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12</w:t>
              <w:br/>
            </w:r>
            <w:r>
              <w:rPr>
                <w:noProof/>
                <w:sz w:val="2"/>
              </w:rPr>
              <w:t>4484aabf-f98c-410e-96a0-6f2f46410709</w:t>
            </w:r>
          </w:p>
        </w:tc>
        <w:tc>
          <w:tcPr>
            <w:tcW w:w="360" w:type="dxa"/>
            <w:shd w:val="clear" w:color="auto" w:fill="F2F2F2"/>
          </w:tcPr>
          <w:p w:rsidR="00A77B3E">
            <w:pPr>
              <w:pStyle w:val="mqeng"/>
              <w:jc w:val="left"/>
            </w:pPr>
            <w:r>
              <w:rPr>
                <w:noProof/>
              </w:rPr>
              <w:t>All rating categories in the US posted negative excess returns, with BB-rated bonds performing the best and CCC-rated bonds performing the worst.</w:t>
            </w:r>
          </w:p>
        </w:tc>
        <w:tc>
          <w:tcPr>
            <w:tcW w:w="360" w:type="dxa"/>
            <w:shd w:val="clear" w:color="auto" w:fill="auto"/>
          </w:tcPr>
          <w:p w:rsidR="00A77B3E">
            <w:pPr>
              <w:pStyle w:val="mqspa"/>
              <w:jc w:val="left"/>
            </w:pPr>
            <w:r>
              <w:rPr>
                <w:noProof w:val="0"/>
              </w:rPr>
              <w:t>En Estados Unidos, todas las categorías de calificación obtuvieron una rentabilidad superior negativa. Los bonos con calificación BB registraron el mejor comportamiento y aquellos con calificación CCC, el peor.</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13</w:t>
              <w:br/>
            </w:r>
            <w:r>
              <w:rPr>
                <w:noProof/>
                <w:sz w:val="2"/>
              </w:rPr>
              <w:t>c2a97734-f704-4d2a-9279-f3a215ebee3b</w:t>
            </w:r>
          </w:p>
        </w:tc>
        <w:tc>
          <w:tcPr>
            <w:tcW w:w="360" w:type="dxa"/>
            <w:shd w:val="clear" w:color="auto" w:fill="F2F2F2"/>
          </w:tcPr>
          <w:p w:rsidR="00A77B3E">
            <w:pPr>
              <w:pStyle w:val="mqeng"/>
              <w:jc w:val="left"/>
            </w:pPr>
            <w:r>
              <w:rPr>
                <w:noProof/>
              </w:rPr>
              <w:t>In Europe, CCC-rated bonds performed the best, followed by B-rated bonds and then BB-rated bonds.</w:t>
            </w:r>
          </w:p>
        </w:tc>
        <w:tc>
          <w:tcPr>
            <w:tcW w:w="360" w:type="dxa"/>
            <w:shd w:val="clear" w:color="auto" w:fill="auto"/>
          </w:tcPr>
          <w:p w:rsidR="00A77B3E">
            <w:pPr>
              <w:pStyle w:val="mqspa"/>
              <w:jc w:val="left"/>
            </w:pPr>
            <w:r>
              <w:rPr>
                <w:noProof w:val="0"/>
              </w:rPr>
              <w:t>En Europa, los bonos con calificación CCC fueron los que mejor trayectoria mostraron, seguidos de los bonos con calificación B y de aquellos con calificación BB.</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(68%)</w:t>
            </w:r>
          </w:p>
        </w:tc>
      </w:tr>
      <w:tr>
        <w:tblPrEx>
          <w:tblW w:w="5000" w:type="pct"/>
          <w:tblCellMar>
            <w:left w:w="108" w:type="dxa"/>
            <w:right w:w="108" w:type="dxa"/>
          </w:tblCellMar>
        </w:tblPrEx>
        <w:tc>
          <w:tcPr>
            <w:tcW w:w="360" w:type="dxa"/>
            <w:shd w:val="clear" w:color="auto" w:fill="F2F2F2"/>
          </w:tcPr>
          <w:p w:rsidR="00A77B3E">
            <w:pPr>
              <w:jc w:val="left"/>
            </w:pPr>
            <w:r>
              <w:rPr>
                <w:noProof/>
                <w:sz w:val="16"/>
              </w:rPr>
              <w:t>14</w:t>
              <w:br/>
            </w:r>
            <w:r>
              <w:rPr>
                <w:noProof/>
                <w:sz w:val="2"/>
              </w:rPr>
              <w:t>0bc7e5fb-7a0b-4ba7-8396-b7b556cdca7a</w:t>
            </w:r>
          </w:p>
        </w:tc>
        <w:tc>
          <w:tcPr>
            <w:tcW w:w="360" w:type="dxa"/>
            <w:shd w:val="clear" w:color="auto" w:fill="F2F2F2"/>
          </w:tcPr>
          <w:p w:rsidR="00A77B3E">
            <w:pPr>
              <w:pStyle w:val="mqeng"/>
              <w:jc w:val="left"/>
            </w:pPr>
            <w:r>
              <w:rPr>
                <w:b/>
                <w:i w:val="0"/>
                <w:noProof/>
                <w:u w:val="none"/>
                <w:vertAlign w:val="baseline"/>
              </w:rPr>
              <w:t>Portfolio review</w:t>
            </w:r>
          </w:p>
        </w:tc>
        <w:tc>
          <w:tcPr>
            <w:tcW w:w="360" w:type="dxa"/>
            <w:shd w:val="clear" w:color="auto" w:fill="auto"/>
          </w:tcPr>
          <w:p w:rsidR="00A77B3E">
            <w:pPr>
              <w:pStyle w:val="mqspa"/>
              <w:jc w:val="left"/>
            </w:pPr>
            <w:r>
              <w:rPr>
                <w:b/>
                <w:i w:val="0"/>
                <w:noProof w:val="0"/>
                <w:u w:val="none"/>
                <w:vertAlign w:val="baseline"/>
              </w:rPr>
              <w:t>Portfolio review</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r>
          </w:p>
        </w:tc>
      </w:tr>
      <w:tr>
        <w:tblPrEx>
          <w:tblW w:w="5000" w:type="pct"/>
          <w:tblCellMar>
            <w:left w:w="108" w:type="dxa"/>
            <w:right w:w="108" w:type="dxa"/>
          </w:tblCellMar>
        </w:tblPrEx>
        <w:tc>
          <w:tcPr>
            <w:tcW w:w="360" w:type="dxa"/>
            <w:shd w:val="clear" w:color="auto" w:fill="F2F2F2"/>
          </w:tcPr>
          <w:p w:rsidR="00A77B3E">
            <w:pPr>
              <w:jc w:val="left"/>
            </w:pPr>
            <w:r>
              <w:rPr>
                <w:noProof/>
                <w:sz w:val="16"/>
              </w:rPr>
              <w:t>15</w:t>
              <w:br/>
            </w:r>
            <w:r>
              <w:rPr>
                <w:noProof/>
                <w:sz w:val="2"/>
              </w:rPr>
              <w:t>e165b596-c954-47d2-a796-e252f6bb1d16</w:t>
            </w:r>
          </w:p>
        </w:tc>
        <w:tc>
          <w:tcPr>
            <w:tcW w:w="360" w:type="dxa"/>
            <w:shd w:val="clear" w:color="auto" w:fill="F2F2F2"/>
          </w:tcPr>
          <w:p w:rsidR="00A77B3E">
            <w:pPr>
              <w:pStyle w:val="mqeng"/>
              <w:jc w:val="left"/>
            </w:pPr>
            <w:r>
              <w:rPr>
                <w:noProof/>
              </w:rPr>
              <w:t>Security selection was the key driver of outperformance while sector allocation also contributed positively.</w:t>
            </w:r>
          </w:p>
        </w:tc>
        <w:tc>
          <w:tcPr>
            <w:tcW w:w="360" w:type="dxa"/>
            <w:shd w:val="clear" w:color="auto" w:fill="auto"/>
          </w:tcPr>
          <w:p w:rsidR="00A77B3E">
            <w:pPr>
              <w:pStyle w:val="mqspa"/>
              <w:jc w:val="left"/>
            </w:pPr>
            <w:r>
              <w:rPr>
                <w:noProof w:val="0"/>
              </w:rPr>
              <w:t>La selección de valores fue el principal factor de la rentabilidad superior, y la asignación sectorial también contribuyó de manera positiva.</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(75%)</w:t>
            </w:r>
          </w:p>
        </w:tc>
      </w:tr>
      <w:tr>
        <w:tblPrEx>
          <w:tblW w:w="5000" w:type="pct"/>
          <w:tblCellMar>
            <w:left w:w="108" w:type="dxa"/>
            <w:right w:w="108" w:type="dxa"/>
          </w:tblCellMar>
        </w:tblPrEx>
        <w:tc>
          <w:tcPr>
            <w:tcW w:w="360" w:type="dxa"/>
            <w:shd w:val="clear" w:color="auto" w:fill="F2F2F2"/>
          </w:tcPr>
          <w:p w:rsidR="00A77B3E">
            <w:pPr>
              <w:jc w:val="left"/>
            </w:pPr>
            <w:r>
              <w:rPr>
                <w:noProof/>
                <w:sz w:val="16"/>
              </w:rPr>
              <w:t>16</w:t>
              <w:br/>
            </w:r>
            <w:r>
              <w:rPr>
                <w:noProof/>
                <w:sz w:val="2"/>
              </w:rPr>
              <w:t>1aac4e9b-2f96-4879-8fb3-f408179f638b</w:t>
            </w:r>
          </w:p>
        </w:tc>
        <w:tc>
          <w:tcPr>
            <w:tcW w:w="360" w:type="dxa"/>
            <w:shd w:val="clear" w:color="auto" w:fill="F2F2F2"/>
          </w:tcPr>
          <w:p w:rsidR="00A77B3E">
            <w:pPr>
              <w:pStyle w:val="mqeng"/>
              <w:jc w:val="left"/>
            </w:pPr>
            <w:r>
              <w:rPr>
                <w:noProof/>
              </w:rPr>
              <w:t>At the sector level, underweight positions in media and telecommunications contributed positively to performance.</w:t>
            </w:r>
          </w:p>
        </w:tc>
        <w:tc>
          <w:tcPr>
            <w:tcW w:w="360" w:type="dxa"/>
            <w:shd w:val="clear" w:color="auto" w:fill="auto"/>
          </w:tcPr>
          <w:p w:rsidR="00A77B3E">
            <w:pPr>
              <w:pStyle w:val="mqspa"/>
              <w:jc w:val="left"/>
            </w:pPr>
            <w:r>
              <w:rPr>
                <w:noProof w:val="0"/>
              </w:rPr>
              <w:t>A nivel sectorial, las infraponderaciones en los sectores de medios de comunicación y telecomunicaciones contribuyeron de forma positiva.</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(66%)</w:t>
            </w:r>
          </w:p>
        </w:tc>
      </w:tr>
      <w:tr>
        <w:tblPrEx>
          <w:tblW w:w="5000" w:type="pct"/>
          <w:tblCellMar>
            <w:left w:w="108" w:type="dxa"/>
            <w:right w:w="108" w:type="dxa"/>
          </w:tblCellMar>
        </w:tblPrEx>
        <w:tc>
          <w:tcPr>
            <w:tcW w:w="360" w:type="dxa"/>
            <w:shd w:val="clear" w:color="auto" w:fill="F2F2F2"/>
          </w:tcPr>
          <w:p w:rsidR="00A77B3E">
            <w:pPr>
              <w:jc w:val="left"/>
            </w:pPr>
            <w:r>
              <w:rPr>
                <w:noProof/>
                <w:sz w:val="16"/>
              </w:rPr>
              <w:t>17</w:t>
              <w:br/>
            </w:r>
            <w:r>
              <w:rPr>
                <w:noProof/>
                <w:sz w:val="2"/>
              </w:rPr>
              <w:t>448fca80-c91a-41bf-b720-0131eea2ced7</w:t>
            </w:r>
          </w:p>
        </w:tc>
        <w:tc>
          <w:tcPr>
            <w:tcW w:w="360" w:type="dxa"/>
            <w:shd w:val="clear" w:color="auto" w:fill="F2F2F2"/>
          </w:tcPr>
          <w:p w:rsidR="00A77B3E">
            <w:pPr>
              <w:pStyle w:val="mqeng"/>
              <w:jc w:val="left"/>
            </w:pPr>
            <w:r>
              <w:rPr>
                <w:noProof/>
              </w:rPr>
              <w:t>An underweight position in real estate detracted, as the sector was one of the best performing in January.</w:t>
            </w:r>
          </w:p>
        </w:tc>
        <w:tc>
          <w:tcPr>
            <w:tcW w:w="360" w:type="dxa"/>
            <w:shd w:val="clear" w:color="auto" w:fill="auto"/>
          </w:tcPr>
          <w:p w:rsidR="00A77B3E">
            <w:pPr>
              <w:pStyle w:val="mqspa"/>
              <w:jc w:val="left"/>
            </w:pPr>
            <w:r>
              <w:rPr>
                <w:noProof w:val="0"/>
              </w:rPr>
              <w:t>Una infraponderación en el sector inmobiliario pasó factura a la rentabilidad, dado que este sector fue uno de los que mejor evolución mostró en enero.</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18</w:t>
              <w:br/>
            </w:r>
            <w:r>
              <w:rPr>
                <w:noProof/>
                <w:sz w:val="2"/>
              </w:rPr>
              <w:t>3ee7ab99-5422-4f01-be42-6996db638193</w:t>
            </w:r>
          </w:p>
        </w:tc>
        <w:tc>
          <w:tcPr>
            <w:tcW w:w="360" w:type="dxa"/>
            <w:shd w:val="clear" w:color="auto" w:fill="F2F2F2"/>
          </w:tcPr>
          <w:p w:rsidR="00A77B3E">
            <w:pPr>
              <w:pStyle w:val="mqeng"/>
              <w:jc w:val="left"/>
            </w:pPr>
            <w:r>
              <w:rPr>
                <w:noProof/>
              </w:rPr>
              <w:t>However, the fund benefited from strongly positive security selection here.</w:t>
            </w:r>
          </w:p>
        </w:tc>
        <w:tc>
          <w:tcPr>
            <w:tcW w:w="360" w:type="dxa"/>
            <w:shd w:val="clear" w:color="auto" w:fill="auto"/>
          </w:tcPr>
          <w:p w:rsidR="00A77B3E">
            <w:pPr>
              <w:pStyle w:val="mqspa"/>
              <w:jc w:val="left"/>
            </w:pPr>
            <w:r>
              <w:rPr>
                <w:noProof w:val="0"/>
              </w:rPr>
              <w:t>No obstante, el fondo se benefició de una selección de valores especialmente positiva en este segmento.</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19</w:t>
              <w:br/>
            </w:r>
            <w:r>
              <w:rPr>
                <w:noProof/>
                <w:sz w:val="2"/>
              </w:rPr>
              <w:t>db7ba93a-15cf-42c8-8302-676a2a13a052</w:t>
            </w:r>
          </w:p>
        </w:tc>
        <w:tc>
          <w:tcPr>
            <w:tcW w:w="360" w:type="dxa"/>
            <w:shd w:val="clear" w:color="auto" w:fill="F2F2F2"/>
          </w:tcPr>
          <w:p w:rsidR="00A77B3E">
            <w:pPr>
              <w:pStyle w:val="mqeng"/>
              <w:jc w:val="left"/>
            </w:pPr>
            <w:r>
              <w:rPr>
                <w:noProof/>
              </w:rPr>
              <w:t>Security selection in telecommunications, technology and electronics and retail also added value, while security selection in capital goods hurt returns.</w:t>
            </w:r>
          </w:p>
        </w:tc>
        <w:tc>
          <w:tcPr>
            <w:tcW w:w="360" w:type="dxa"/>
            <w:shd w:val="clear" w:color="auto" w:fill="auto"/>
          </w:tcPr>
          <w:p w:rsidR="00A77B3E">
            <w:pPr>
              <w:pStyle w:val="mqspa"/>
              <w:jc w:val="left"/>
            </w:pPr>
            <w:r>
              <w:rPr>
                <w:noProof w:val="0"/>
              </w:rPr>
              <w:t>La selección de valores en los sectores de telecomunicaciones, comercio minorista, tecnología y electrónica también aportó valor, mientras que la selección de valores en el sector de bienes de equipo hizo mella en la rentabilidad.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(72%)</w:t>
            </w:r>
          </w:p>
        </w:tc>
      </w:tr>
      <w:tr>
        <w:tblPrEx>
          <w:tblW w:w="5000" w:type="pct"/>
          <w:tblCellMar>
            <w:left w:w="108" w:type="dxa"/>
            <w:right w:w="108" w:type="dxa"/>
          </w:tblCellMar>
        </w:tblPrEx>
        <w:tc>
          <w:tcPr>
            <w:tcW w:w="360" w:type="dxa"/>
            <w:shd w:val="clear" w:color="auto" w:fill="F2F2F2"/>
          </w:tcPr>
          <w:p w:rsidR="00A77B3E">
            <w:pPr>
              <w:jc w:val="left"/>
            </w:pPr>
            <w:r>
              <w:rPr>
                <w:noProof/>
                <w:sz w:val="16"/>
              </w:rPr>
              <w:t>20</w:t>
              <w:br/>
            </w:r>
            <w:r>
              <w:rPr>
                <w:noProof/>
                <w:sz w:val="2"/>
              </w:rPr>
              <w:t>0441932c-b8f1-4a0d-9955-15b1bc300c7b</w:t>
            </w:r>
          </w:p>
        </w:tc>
        <w:tc>
          <w:tcPr>
            <w:tcW w:w="360" w:type="dxa"/>
            <w:shd w:val="clear" w:color="auto" w:fill="F2F2F2"/>
          </w:tcPr>
          <w:p w:rsidR="00A77B3E">
            <w:pPr>
              <w:pStyle w:val="mqeng"/>
              <w:jc w:val="left"/>
            </w:pPr>
            <w:r>
              <w:rPr>
                <w:noProof/>
              </w:rPr>
              <w:t>Regionally, security selection in Europe and North America contributed positively to performance, while security selection in emerging markets detracted.</w:t>
            </w:r>
          </w:p>
        </w:tc>
        <w:tc>
          <w:tcPr>
            <w:tcW w:w="360" w:type="dxa"/>
            <w:shd w:val="clear" w:color="auto" w:fill="auto"/>
          </w:tcPr>
          <w:p w:rsidR="00A77B3E">
            <w:pPr>
              <w:pStyle w:val="mqspa"/>
              <w:jc w:val="left"/>
            </w:pPr>
            <w:r>
              <w:rPr>
                <w:noProof w:val="0"/>
              </w:rPr>
              <w:t>Por regiones, la selección de valores en Europa y Norteamérica contribuyó de forma positiva a la rentabilidad, mientras que la selección de valores en los mercados emergentes la lastró.</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(71%)</w:t>
            </w:r>
          </w:p>
        </w:tc>
      </w:tr>
      <w:tr>
        <w:tblPrEx>
          <w:tblW w:w="5000" w:type="pct"/>
          <w:tblCellMar>
            <w:left w:w="108" w:type="dxa"/>
            <w:right w:w="108" w:type="dxa"/>
          </w:tblCellMar>
        </w:tblPrEx>
        <w:tc>
          <w:tcPr>
            <w:tcW w:w="360" w:type="dxa"/>
            <w:shd w:val="clear" w:color="auto" w:fill="F2F2F2"/>
          </w:tcPr>
          <w:p w:rsidR="00A77B3E">
            <w:pPr>
              <w:jc w:val="left"/>
            </w:pPr>
            <w:r>
              <w:rPr>
                <w:noProof/>
                <w:sz w:val="16"/>
              </w:rPr>
              <w:t>21</w:t>
              <w:br/>
            </w:r>
            <w:r>
              <w:rPr>
                <w:noProof/>
                <w:sz w:val="2"/>
              </w:rPr>
              <w:t>081b561d-f6fd-4081-a38f-c47f6fb0fee1</w:t>
            </w:r>
          </w:p>
        </w:tc>
        <w:tc>
          <w:tcPr>
            <w:tcW w:w="360" w:type="dxa"/>
            <w:shd w:val="clear" w:color="auto" w:fill="F2F2F2"/>
          </w:tcPr>
          <w:p w:rsidR="00A77B3E">
            <w:pPr>
              <w:pStyle w:val="mqeng"/>
              <w:jc w:val="left"/>
            </w:pPr>
            <w:r>
              <w:rPr>
                <w:noProof/>
              </w:rPr>
              <w:t>At the issuer level, the fund's overweight position in European REIT CPI Property contributed strongly to returns.</w:t>
            </w:r>
          </w:p>
        </w:tc>
        <w:tc>
          <w:tcPr>
            <w:tcW w:w="360" w:type="dxa"/>
            <w:shd w:val="clear" w:color="auto" w:fill="auto"/>
          </w:tcPr>
          <w:p w:rsidR="00A77B3E">
            <w:pPr>
              <w:pStyle w:val="mqspa"/>
              <w:jc w:val="left"/>
            </w:pPr>
            <w:r>
              <w:rPr>
                <w:noProof w:val="0"/>
              </w:rPr>
              <w:t>A nivel de emisores, la sobreponderación del fondo en el REIT europeo CPI Property contribuyó de forma significativa a la rentabilidad.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(70%)</w:t>
            </w:r>
          </w:p>
        </w:tc>
      </w:tr>
      <w:tr>
        <w:tblPrEx>
          <w:tblW w:w="5000" w:type="pct"/>
          <w:tblCellMar>
            <w:left w:w="108" w:type="dxa"/>
            <w:right w:w="108" w:type="dxa"/>
          </w:tblCellMar>
        </w:tblPrEx>
        <w:tc>
          <w:tcPr>
            <w:tcW w:w="360" w:type="dxa"/>
            <w:shd w:val="clear" w:color="auto" w:fill="F2F2F2"/>
          </w:tcPr>
          <w:p w:rsidR="00A77B3E">
            <w:pPr>
              <w:jc w:val="left"/>
            </w:pPr>
            <w:r>
              <w:rPr>
                <w:noProof/>
                <w:sz w:val="16"/>
              </w:rPr>
              <w:t>22</w:t>
              <w:br/>
            </w:r>
            <w:r>
              <w:rPr>
                <w:noProof/>
                <w:sz w:val="2"/>
              </w:rPr>
              <w:t>fe2cb2d6-c819-43da-a047-de9281c64247</w:t>
            </w:r>
          </w:p>
        </w:tc>
        <w:tc>
          <w:tcPr>
            <w:tcW w:w="360" w:type="dxa"/>
            <w:shd w:val="clear" w:color="auto" w:fill="F2F2F2"/>
          </w:tcPr>
          <w:p w:rsidR="00A77B3E">
            <w:pPr>
              <w:pStyle w:val="mqeng"/>
              <w:jc w:val="left"/>
            </w:pPr>
            <w:r>
              <w:rPr>
                <w:noProof/>
              </w:rPr>
              <w:t>CPI underperformed in 2023, as the high interest rate environment put pressure on its business model and following December's news that Muddy waters (the short-selling hedge fund) had bet against it.</w:t>
            </w:r>
          </w:p>
        </w:tc>
        <w:tc>
          <w:tcPr>
            <w:tcW w:w="360" w:type="dxa"/>
            <w:shd w:val="clear" w:color="auto" w:fill="auto"/>
          </w:tcPr>
          <w:p w:rsidR="00A77B3E">
            <w:pPr>
              <w:pStyle w:val="mqspa"/>
              <w:jc w:val="left"/>
            </w:pPr>
            <w:r>
              <w:rPr>
                <w:noProof w:val="0"/>
              </w:rPr>
              <w:t xml:space="preserve">CPI registró una rentabilidad inferior en 2023 debido a que el entorno de tipos de interés en niveles elevados ejerció presión sobre su modelo de negocio, así como a las noticias publicadas en diciembre que informaban de que Muddy Waters (el </w:t>
            </w:r>
            <w:r>
              <w:rPr>
                <w:b w:val="0"/>
                <w:i/>
                <w:noProof w:val="0"/>
                <w:u w:val="none"/>
                <w:vertAlign w:val="baseline"/>
              </w:rPr>
              <w:t>hedge fund</w:t>
            </w:r>
            <w:r>
              <w:rPr>
                <w:b w:val="0"/>
                <w:i w:val="0"/>
                <w:noProof w:val="0"/>
                <w:u w:val="none"/>
                <w:vertAlign w:val="baseline"/>
              </w:rPr>
              <w:t xml:space="preserve"> bajista) se había posicionado en su contra.</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23</w:t>
              <w:br/>
            </w:r>
            <w:r>
              <w:rPr>
                <w:noProof/>
                <w:sz w:val="2"/>
              </w:rPr>
              <w:t>ff6c083f-4eb6-4a05-bdbf-b9b70ae651b7</w:t>
            </w:r>
          </w:p>
        </w:tc>
        <w:tc>
          <w:tcPr>
            <w:tcW w:w="360" w:type="dxa"/>
            <w:shd w:val="clear" w:color="auto" w:fill="F2F2F2"/>
          </w:tcPr>
          <w:p w:rsidR="00A77B3E">
            <w:pPr>
              <w:pStyle w:val="mqeng"/>
              <w:jc w:val="left"/>
            </w:pPr>
            <w:r>
              <w:rPr>
                <w:noProof/>
              </w:rPr>
              <w:t>However, its spread tightened significantly in January, alongside the broader REIT sector, as investor expectations for a cut in interest rates deepened.</w:t>
            </w:r>
          </w:p>
        </w:tc>
        <w:tc>
          <w:tcPr>
            <w:tcW w:w="360" w:type="dxa"/>
            <w:shd w:val="clear" w:color="auto" w:fill="auto"/>
          </w:tcPr>
          <w:p w:rsidR="00A77B3E">
            <w:pPr>
              <w:pStyle w:val="mqspa"/>
              <w:jc w:val="left"/>
            </w:pPr>
            <w:r>
              <w:rPr>
                <w:noProof w:val="0"/>
              </w:rPr>
              <w:t>Sin embargo, su diferencial se estrechó de manera considerable en enero, junto con el del sector de los REIT en su conjunto, a medida que aumentaban las expectativas de los inversores de que fuese a producirse un recorte de los tipos de interés.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24</w:t>
              <w:br/>
            </w:r>
            <w:r>
              <w:rPr>
                <w:noProof/>
                <w:sz w:val="2"/>
              </w:rPr>
              <w:t>8eb34eca-5afb-45c0-b20c-581118c1f609</w:t>
            </w:r>
          </w:p>
        </w:tc>
        <w:tc>
          <w:tcPr>
            <w:tcW w:w="360" w:type="dxa"/>
            <w:shd w:val="clear" w:color="auto" w:fill="F2F2F2"/>
          </w:tcPr>
          <w:p w:rsidR="00A77B3E">
            <w:pPr>
              <w:pStyle w:val="mqeng"/>
              <w:jc w:val="left"/>
            </w:pPr>
            <w:r>
              <w:rPr>
                <w:noProof/>
              </w:rPr>
              <w:t>Elsewhere, an overweight position in UK energy company EDF contributed positively to performance, despite news flow in January around increased costs for its nuclear plant currently being built in the UK.</w:t>
            </w:r>
          </w:p>
        </w:tc>
        <w:tc>
          <w:tcPr>
            <w:tcW w:w="360" w:type="dxa"/>
            <w:shd w:val="clear" w:color="auto" w:fill="auto"/>
          </w:tcPr>
          <w:p w:rsidR="00A77B3E">
            <w:pPr>
              <w:pStyle w:val="mqspa"/>
              <w:jc w:val="left"/>
            </w:pPr>
            <w:r>
              <w:rPr>
                <w:noProof w:val="0"/>
              </w:rPr>
              <w:t>Por otro lado, nuestra sobreponderación en la empresa de energía británica EDF contribuyó de forma positiva a la rentabilidad a pesar de que en enero se publicasen diversas noticias sobre el aumento de los costes que está registrando la empresa en la construcción de la central nuclear que está levantando actualmente en el Reino Unido.</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25</w:t>
              <w:br/>
            </w:r>
            <w:r>
              <w:rPr>
                <w:noProof/>
                <w:sz w:val="2"/>
              </w:rPr>
              <w:t>c6816f13-3dbd-4730-9cd5-a03b51db2730</w:t>
            </w:r>
          </w:p>
        </w:tc>
        <w:tc>
          <w:tcPr>
            <w:tcW w:w="360" w:type="dxa"/>
            <w:shd w:val="clear" w:color="auto" w:fill="F2F2F2"/>
          </w:tcPr>
          <w:p w:rsidR="00A77B3E">
            <w:pPr>
              <w:pStyle w:val="mqeng"/>
              <w:jc w:val="left"/>
            </w:pPr>
            <w:r>
              <w:rPr>
                <w:noProof/>
              </w:rPr>
              <w:t>Not holding US television provider Dish Network, France-based information technology company Atos and construction engineering firm CSC also helped returns.</w:t>
            </w:r>
          </w:p>
        </w:tc>
        <w:tc>
          <w:tcPr>
            <w:tcW w:w="360" w:type="dxa"/>
            <w:shd w:val="clear" w:color="auto" w:fill="auto"/>
          </w:tcPr>
          <w:p w:rsidR="00A77B3E">
            <w:pPr>
              <w:pStyle w:val="mqspa"/>
              <w:jc w:val="left"/>
            </w:pPr>
            <w:r>
              <w:rPr>
                <w:noProof w:val="0"/>
              </w:rPr>
              <w:t>El hecho de no tener en cartera al proveedor estadounidense de televisión de pago Dish Network, a la empresa de tecnologías de la información con sede en Francia Atos y a la compañía de ingeniería para el sector de la construcción CSC también respaldó la rentabilidad.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26</w:t>
              <w:br/>
            </w:r>
            <w:r>
              <w:rPr>
                <w:noProof/>
                <w:sz w:val="2"/>
              </w:rPr>
              <w:t>b2edb24a-b7a2-4fa1-9432-ecd403f10c0e</w:t>
            </w:r>
          </w:p>
        </w:tc>
        <w:tc>
          <w:tcPr>
            <w:tcW w:w="360" w:type="dxa"/>
            <w:shd w:val="clear" w:color="auto" w:fill="F2F2F2"/>
          </w:tcPr>
          <w:p w:rsidR="00A77B3E">
            <w:pPr>
              <w:pStyle w:val="mqeng"/>
              <w:jc w:val="left"/>
            </w:pPr>
            <w:r>
              <w:rPr>
                <w:noProof/>
              </w:rPr>
              <w:t>Conversely, overweight positions in paper and packaging company LABL, Mexico City International Airport, which is an emerging market corporate issuer, and US television network Univision hurt returns.</w:t>
            </w:r>
          </w:p>
        </w:tc>
        <w:tc>
          <w:tcPr>
            <w:tcW w:w="360" w:type="dxa"/>
            <w:shd w:val="clear" w:color="auto" w:fill="auto"/>
          </w:tcPr>
          <w:p w:rsidR="00A77B3E">
            <w:pPr>
              <w:pStyle w:val="mqspa"/>
              <w:jc w:val="left"/>
            </w:pPr>
            <w:r>
              <w:rPr>
                <w:noProof w:val="0"/>
              </w:rPr>
              <w:t>Por el contrario, las sobreponderaciones en la empresa de papel y envases LABL, en el emisor corporativo de los mercados emergentes Mexico City International Airport y en la red de televisiones estadounidense Univision pasaron factura a la rentabilidad.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27</w:t>
              <w:br/>
            </w:r>
            <w:r>
              <w:rPr>
                <w:noProof/>
                <w:sz w:val="2"/>
              </w:rPr>
              <w:t>38faa1bf-862d-474b-b366-cc261e3612d6</w:t>
            </w:r>
          </w:p>
        </w:tc>
        <w:tc>
          <w:tcPr>
            <w:tcW w:w="360" w:type="dxa"/>
            <w:shd w:val="clear" w:color="auto" w:fill="F2F2F2"/>
          </w:tcPr>
          <w:p w:rsidR="00A77B3E">
            <w:pPr>
              <w:pStyle w:val="mqeng"/>
              <w:jc w:val="left"/>
            </w:pPr>
            <w:r>
              <w:rPr>
                <w:noProof/>
              </w:rPr>
              <w:t>Not holding some issuers that rallied during the month also weighed on relative returns, including chemicals company Chart Industries and European real estate company Heimstaden Bostad.</w:t>
            </w:r>
          </w:p>
        </w:tc>
        <w:tc>
          <w:tcPr>
            <w:tcW w:w="360" w:type="dxa"/>
            <w:shd w:val="clear" w:color="auto" w:fill="auto"/>
          </w:tcPr>
          <w:p w:rsidR="00A77B3E">
            <w:pPr>
              <w:pStyle w:val="mqspa"/>
              <w:jc w:val="left"/>
            </w:pPr>
            <w:r>
              <w:rPr>
                <w:noProof w:val="0"/>
              </w:rPr>
              <w:t>La ausencia de exposición a algunos emisores que repuntaron durante el mes también lastró la rentabilidad relativa, lo que incluye los casos de la empresa de productos químicos Chart Industries y la firma inmobiliaria europea Heimstaden Bostad.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28</w:t>
              <w:br/>
            </w:r>
            <w:r>
              <w:rPr>
                <w:noProof/>
                <w:sz w:val="2"/>
              </w:rPr>
              <w:t>bc4cd620-cd60-42b6-b0e2-17b9f03aaa28</w:t>
            </w:r>
          </w:p>
        </w:tc>
        <w:tc>
          <w:tcPr>
            <w:tcW w:w="360" w:type="dxa"/>
            <w:shd w:val="clear" w:color="auto" w:fill="F2F2F2"/>
          </w:tcPr>
          <w:p w:rsidR="00A77B3E">
            <w:pPr>
              <w:pStyle w:val="mqeng"/>
              <w:jc w:val="left"/>
            </w:pPr>
            <w:r>
              <w:rPr>
                <w:noProof/>
              </w:rPr>
              <w:t>We added some new issues to the fund during the month, including real estate logistics company Logicor and UK chemicals firm Ineos.</w:t>
            </w:r>
          </w:p>
        </w:tc>
        <w:tc>
          <w:tcPr>
            <w:tcW w:w="360" w:type="dxa"/>
            <w:shd w:val="clear" w:color="auto" w:fill="auto"/>
          </w:tcPr>
          <w:p w:rsidR="00A77B3E">
            <w:pPr>
              <w:pStyle w:val="mqspa"/>
              <w:jc w:val="left"/>
            </w:pPr>
            <w:r>
              <w:rPr>
                <w:noProof w:val="0"/>
              </w:rPr>
              <w:t>Incorporamos algunas nuevas emisiones al fondo durante el mes, entre las que figuran la empresa de logística especializada en el sector inmobiliario Logicor y la compañía británica de productos químicos Ineos.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29</w:t>
              <w:br/>
            </w:r>
            <w:r>
              <w:rPr>
                <w:noProof/>
                <w:sz w:val="2"/>
              </w:rPr>
              <w:t>51705e27-5860-499b-b4c9-096fdd39d884</w:t>
            </w:r>
          </w:p>
        </w:tc>
        <w:tc>
          <w:tcPr>
            <w:tcW w:w="360" w:type="dxa"/>
            <w:shd w:val="clear" w:color="auto" w:fill="F2F2F2"/>
          </w:tcPr>
          <w:p w:rsidR="00A77B3E">
            <w:pPr>
              <w:pStyle w:val="mqeng"/>
              <w:jc w:val="left"/>
            </w:pPr>
            <w:r>
              <w:rPr>
                <w:noProof/>
              </w:rPr>
              <w:t>Elsewhere, the automotive sector was hit hard at the beginning of 2023 with spreads widening, so we added a new bond from German automotive company Schaeffler, which was attractively priced.</w:t>
            </w:r>
          </w:p>
        </w:tc>
        <w:tc>
          <w:tcPr>
            <w:tcW w:w="360" w:type="dxa"/>
            <w:shd w:val="clear" w:color="auto" w:fill="auto"/>
          </w:tcPr>
          <w:p w:rsidR="00A77B3E">
            <w:pPr>
              <w:pStyle w:val="mqspa"/>
              <w:jc w:val="left"/>
            </w:pPr>
            <w:r>
              <w:rPr>
                <w:noProof w:val="0"/>
              </w:rPr>
              <w:t>Asimismo, cabe destacar que el sector del automóvil se vio considerablemente perjudicado a principios de 2023 y experimentó una ampliación de los diferenciales, por lo que incorporamos un nuevo bono de una empresa automovilística alemana denominada Schaeffler que presentaba un precio atractivo.</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30</w:t>
              <w:br/>
            </w:r>
            <w:r>
              <w:rPr>
                <w:noProof/>
                <w:sz w:val="2"/>
              </w:rPr>
              <w:t>3b4eb327-3761-4b81-8639-74e1ad697e88</w:t>
            </w:r>
          </w:p>
        </w:tc>
        <w:tc>
          <w:tcPr>
            <w:tcW w:w="360" w:type="dxa"/>
            <w:shd w:val="clear" w:color="auto" w:fill="F2F2F2"/>
          </w:tcPr>
          <w:p w:rsidR="00A77B3E">
            <w:pPr>
              <w:pStyle w:val="mqeng"/>
              <w:jc w:val="left"/>
            </w:pPr>
            <w:r>
              <w:rPr>
                <w:noProof/>
              </w:rPr>
              <w:t>We increased the fund's exposure in housebuilder Miller Homes, as we like the outlook for its business, given sustained demand for new build homes and as mortgage rates begin to fall.</w:t>
            </w:r>
          </w:p>
        </w:tc>
        <w:tc>
          <w:tcPr>
            <w:tcW w:w="360" w:type="dxa"/>
            <w:shd w:val="clear" w:color="auto" w:fill="auto"/>
          </w:tcPr>
          <w:p w:rsidR="00A77B3E">
            <w:pPr>
              <w:pStyle w:val="mqspa"/>
              <w:jc w:val="left"/>
            </w:pPr>
            <w:r>
              <w:rPr>
                <w:noProof w:val="0"/>
              </w:rPr>
              <w:t>Del mismo modo, incrementamos la exposición del fondo al constructor de viviendas Miller Homes, dado que las perspectivas para su negocio nos parecen halagüeñas, en vista de que existe una demanda sostenida de viviendas de nueva construcción y de que nos hallamos en un contexto en el que los tipos hipotecarios están empezando a caer.</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31</w:t>
              <w:br/>
            </w:r>
            <w:r>
              <w:rPr>
                <w:noProof/>
                <w:sz w:val="2"/>
              </w:rPr>
              <w:t>e8edb139-b4ce-4041-af37-282441efcbce</w:t>
            </w:r>
          </w:p>
        </w:tc>
        <w:tc>
          <w:tcPr>
            <w:tcW w:w="360" w:type="dxa"/>
            <w:shd w:val="clear" w:color="auto" w:fill="F2F2F2"/>
          </w:tcPr>
          <w:p w:rsidR="00A77B3E">
            <w:pPr>
              <w:pStyle w:val="mqeng"/>
              <w:jc w:val="left"/>
            </w:pPr>
            <w:r>
              <w:rPr>
                <w:b/>
                <w:i w:val="0"/>
                <w:noProof/>
                <w:u w:val="none"/>
                <w:vertAlign w:val="baseline"/>
              </w:rPr>
              <w:t>Contributors/detractors</w:t>
            </w:r>
          </w:p>
        </w:tc>
        <w:tc>
          <w:tcPr>
            <w:tcW w:w="360" w:type="dxa"/>
            <w:shd w:val="clear" w:color="auto" w:fill="auto"/>
          </w:tcPr>
          <w:p w:rsidR="00A77B3E">
            <w:pPr>
              <w:pStyle w:val="mqspa"/>
              <w:jc w:val="left"/>
            </w:pPr>
            <w:r>
              <w:rPr>
                <w:b/>
                <w:i w:val="0"/>
                <w:noProof w:val="0"/>
                <w:u w:val="none"/>
                <w:vertAlign w:val="baseline"/>
              </w:rPr>
              <w:t>Contributors/detractors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r>
          </w:p>
        </w:tc>
      </w:tr>
      <w:tr>
        <w:tblPrEx>
          <w:tblW w:w="5000" w:type="pct"/>
          <w:tblCellMar>
            <w:left w:w="108" w:type="dxa"/>
            <w:right w:w="108" w:type="dxa"/>
          </w:tblCellMar>
        </w:tblPrEx>
        <w:tc>
          <w:tcPr>
            <w:tcW w:w="360" w:type="dxa"/>
            <w:shd w:val="clear" w:color="auto" w:fill="F2F2F2"/>
          </w:tcPr>
          <w:p w:rsidR="00A77B3E">
            <w:pPr>
              <w:jc w:val="left"/>
            </w:pPr>
            <w:r>
              <w:rPr>
                <w:noProof/>
                <w:sz w:val="16"/>
              </w:rPr>
              <w:t>32</w:t>
              <w:br/>
            </w:r>
            <w:r>
              <w:rPr>
                <w:noProof/>
                <w:sz w:val="2"/>
              </w:rPr>
              <w:t>49f192b9-d749-4fd0-8efb-5951728bd2bd</w:t>
            </w:r>
          </w:p>
        </w:tc>
        <w:tc>
          <w:tcPr>
            <w:tcW w:w="360" w:type="dxa"/>
            <w:shd w:val="clear" w:color="auto" w:fill="F2F2F2"/>
          </w:tcPr>
          <w:p w:rsidR="00A77B3E">
            <w:pPr>
              <w:pStyle w:val="mqeng"/>
              <w:jc w:val="left"/>
            </w:pPr>
            <w:r>
              <w:rPr>
                <w:noProof/>
              </w:rPr>
              <w:t>Security selection was the key driver of outperformance while sector allocation also contributed positively.</w:t>
            </w:r>
          </w:p>
        </w:tc>
        <w:tc>
          <w:tcPr>
            <w:tcW w:w="360" w:type="dxa"/>
            <w:shd w:val="clear" w:color="auto" w:fill="auto"/>
          </w:tcPr>
          <w:p w:rsidR="00A77B3E">
            <w:pPr>
              <w:pStyle w:val="mqspa"/>
              <w:jc w:val="left"/>
            </w:pPr>
            <w:r>
              <w:rPr>
                <w:noProof w:val="0"/>
              </w:rPr>
              <w:t>La selección de valores fue el principal factor de la rentabilidad superior, y la asignación sectorial también contribuyó de manera positiva.</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33</w:t>
              <w:br/>
            </w:r>
            <w:r>
              <w:rPr>
                <w:noProof/>
                <w:sz w:val="2"/>
              </w:rPr>
              <w:t>7ef97ff0-f3c5-4c82-8f63-d1c794ac5661</w:t>
            </w:r>
          </w:p>
        </w:tc>
        <w:tc>
          <w:tcPr>
            <w:tcW w:w="360" w:type="dxa"/>
            <w:shd w:val="clear" w:color="auto" w:fill="F2F2F2"/>
          </w:tcPr>
          <w:p w:rsidR="00A77B3E">
            <w:pPr>
              <w:pStyle w:val="mqeng"/>
              <w:jc w:val="left"/>
            </w:pPr>
            <w:r>
              <w:rPr>
                <w:b/>
                <w:i w:val="0"/>
                <w:noProof/>
                <w:u w:val="none"/>
                <w:vertAlign w:val="baseline"/>
              </w:rPr>
              <w:t>Outlook</w:t>
            </w:r>
          </w:p>
        </w:tc>
        <w:tc>
          <w:tcPr>
            <w:tcW w:w="360" w:type="dxa"/>
            <w:shd w:val="clear" w:color="auto" w:fill="auto"/>
          </w:tcPr>
          <w:p w:rsidR="00A77B3E">
            <w:pPr>
              <w:pStyle w:val="mqspa"/>
              <w:jc w:val="left"/>
            </w:pPr>
            <w:r>
              <w:rPr>
                <w:b/>
                <w:i w:val="0"/>
                <w:noProof w:val="0"/>
                <w:u w:val="none"/>
                <w:vertAlign w:val="baseline"/>
              </w:rPr>
              <w:t>Outlook</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r>
          </w:p>
        </w:tc>
      </w:tr>
      <w:tr>
        <w:tblPrEx>
          <w:tblW w:w="5000" w:type="pct"/>
          <w:tblCellMar>
            <w:left w:w="108" w:type="dxa"/>
            <w:right w:w="108" w:type="dxa"/>
          </w:tblCellMar>
        </w:tblPrEx>
        <w:tc>
          <w:tcPr>
            <w:tcW w:w="360" w:type="dxa"/>
            <w:shd w:val="clear" w:color="auto" w:fill="F2F2F2"/>
          </w:tcPr>
          <w:p w:rsidR="00A77B3E">
            <w:pPr>
              <w:jc w:val="left"/>
            </w:pPr>
            <w:r>
              <w:rPr>
                <w:noProof/>
                <w:sz w:val="16"/>
              </w:rPr>
              <w:t>34</w:t>
              <w:br/>
            </w:r>
            <w:r>
              <w:rPr>
                <w:noProof/>
                <w:sz w:val="2"/>
              </w:rPr>
              <w:t>f2225c68-d81d-48a9-9b9b-7544ff5805d0</w:t>
            </w:r>
          </w:p>
        </w:tc>
        <w:tc>
          <w:tcPr>
            <w:tcW w:w="360" w:type="dxa"/>
            <w:shd w:val="clear" w:color="auto" w:fill="F2F2F2"/>
          </w:tcPr>
          <w:p w:rsidR="00A77B3E">
            <w:pPr>
              <w:pStyle w:val="mqeng"/>
              <w:jc w:val="left"/>
            </w:pPr>
            <w:r>
              <w:rPr>
                <w:noProof/>
              </w:rPr>
              <w:t>Given the binary outlook, we remain cautious about adding risk and remain focused on selecting companies with strong fundamentals and what we see as attractive valuations.</w:t>
            </w:r>
          </w:p>
        </w:tc>
        <w:tc>
          <w:tcPr>
            <w:tcW w:w="360" w:type="dxa"/>
            <w:shd w:val="clear" w:color="auto" w:fill="auto"/>
          </w:tcPr>
          <w:p w:rsidR="00A77B3E">
            <w:pPr>
              <w:pStyle w:val="mqspa"/>
              <w:jc w:val="left"/>
            </w:pPr>
            <w:r>
              <w:rPr>
                <w:noProof w:val="0"/>
              </w:rPr>
              <w:t>En vista del carácter binario de las perspectivas, mantenemos la prudencia a la hora de incrementar el riesgo y seguimos centrados en seleccionar empresas que cuentan con sólidos fundamentales y que, a nuestro juicio, presentan unas valoraciones atractivas.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35</w:t>
              <w:br/>
            </w:r>
            <w:r>
              <w:rPr>
                <w:noProof/>
                <w:sz w:val="2"/>
              </w:rPr>
              <w:t>e232f60a-f7ca-4fbe-bc9a-e90eaecc86ed</w:t>
            </w:r>
          </w:p>
        </w:tc>
        <w:tc>
          <w:tcPr>
            <w:tcW w:w="360" w:type="dxa"/>
            <w:shd w:val="clear" w:color="auto" w:fill="F2F2F2"/>
          </w:tcPr>
          <w:p w:rsidR="00A77B3E">
            <w:pPr>
              <w:pStyle w:val="mqeng"/>
              <w:jc w:val="left"/>
            </w:pPr>
            <w:r>
              <w:rPr>
                <w:b/>
                <w:i w:val="0"/>
                <w:noProof/>
                <w:u w:val="none"/>
                <w:vertAlign w:val="baseline"/>
              </w:rPr>
              <w:t>Manager outlook</w:t>
            </w:r>
          </w:p>
        </w:tc>
        <w:tc>
          <w:tcPr>
            <w:tcW w:w="360" w:type="dxa"/>
            <w:shd w:val="clear" w:color="auto" w:fill="auto"/>
          </w:tcPr>
          <w:p w:rsidR="00A77B3E">
            <w:pPr>
              <w:pStyle w:val="mqspa"/>
              <w:jc w:val="left"/>
            </w:pPr>
            <w:r>
              <w:rPr>
                <w:b/>
                <w:i w:val="0"/>
                <w:noProof w:val="0"/>
                <w:u w:val="none"/>
                <w:vertAlign w:val="baseline"/>
              </w:rPr>
              <w:t>Manager outlook</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r>
          </w:p>
        </w:tc>
      </w:tr>
      <w:tr>
        <w:tblPrEx>
          <w:tblW w:w="5000" w:type="pct"/>
          <w:tblCellMar>
            <w:left w:w="108" w:type="dxa"/>
            <w:right w:w="108" w:type="dxa"/>
          </w:tblCellMar>
        </w:tblPrEx>
        <w:tc>
          <w:tcPr>
            <w:tcW w:w="360" w:type="dxa"/>
            <w:shd w:val="clear" w:color="auto" w:fill="F2F2F2"/>
          </w:tcPr>
          <w:p w:rsidR="00A77B3E">
            <w:pPr>
              <w:jc w:val="left"/>
            </w:pPr>
            <w:r>
              <w:rPr>
                <w:noProof/>
                <w:sz w:val="16"/>
              </w:rPr>
              <w:t>36</w:t>
              <w:br/>
            </w:r>
            <w:r>
              <w:rPr>
                <w:noProof/>
                <w:sz w:val="2"/>
              </w:rPr>
              <w:t>821bc7ce-f190-4572-98bd-f432f83f0351</w:t>
            </w:r>
          </w:p>
        </w:tc>
        <w:tc>
          <w:tcPr>
            <w:tcW w:w="360" w:type="dxa"/>
            <w:shd w:val="clear" w:color="auto" w:fill="F2F2F2"/>
          </w:tcPr>
          <w:p w:rsidR="00A77B3E">
            <w:pPr>
              <w:pStyle w:val="mqeng"/>
              <w:jc w:val="left"/>
            </w:pPr>
            <w:r>
              <w:rPr>
                <w:noProof/>
              </w:rPr>
              <w:t>We maintained the fund's small overweight position to credit spread risk relative to the index.</w:t>
            </w:r>
          </w:p>
        </w:tc>
        <w:tc>
          <w:tcPr>
            <w:tcW w:w="360" w:type="dxa"/>
            <w:shd w:val="clear" w:color="auto" w:fill="auto"/>
          </w:tcPr>
          <w:p w:rsidR="00A77B3E">
            <w:pPr>
              <w:pStyle w:val="mqspa"/>
              <w:jc w:val="left"/>
            </w:pPr>
            <w:r>
              <w:rPr>
                <w:noProof w:val="0"/>
              </w:rPr>
              <w:t>Mantuvimos la pequeña sobreponderación del fondo en el riesgo de diferenciales de crédito con respecto al índice.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(79%)</w:t>
            </w:r>
          </w:p>
        </w:tc>
      </w:tr>
      <w:tr>
        <w:tblPrEx>
          <w:tblW w:w="5000" w:type="pct"/>
          <w:tblCellMar>
            <w:left w:w="108" w:type="dxa"/>
            <w:right w:w="108" w:type="dxa"/>
          </w:tblCellMar>
        </w:tblPrEx>
        <w:tc>
          <w:tcPr>
            <w:tcW w:w="360" w:type="dxa"/>
            <w:shd w:val="clear" w:color="auto" w:fill="F2F2F2"/>
          </w:tcPr>
          <w:p w:rsidR="00A77B3E">
            <w:pPr>
              <w:jc w:val="left"/>
            </w:pPr>
            <w:r>
              <w:rPr>
                <w:noProof/>
                <w:sz w:val="16"/>
              </w:rPr>
              <w:t>37</w:t>
              <w:br/>
            </w:r>
            <w:r>
              <w:rPr>
                <w:noProof/>
                <w:sz w:val="2"/>
              </w:rPr>
              <w:t>d0b0bd4e-9440-43b0-a51f-82b3db89e18f</w:t>
            </w:r>
          </w:p>
        </w:tc>
        <w:tc>
          <w:tcPr>
            <w:tcW w:w="360" w:type="dxa"/>
            <w:shd w:val="clear" w:color="auto" w:fill="F2F2F2"/>
          </w:tcPr>
          <w:p w:rsidR="00A77B3E">
            <w:pPr>
              <w:pStyle w:val="mqeng"/>
              <w:jc w:val="left"/>
            </w:pPr>
            <w:r>
              <w:rPr>
                <w:noProof/>
              </w:rPr>
              <w:t>Markets reacted swiftly to the prospect of a later start to the Fed's rate-cutting cycle and although this does not change our outlook for the year, it highlights the rates volatility we can expect as investors adjust expectations.</w:t>
            </w:r>
          </w:p>
        </w:tc>
        <w:tc>
          <w:tcPr>
            <w:tcW w:w="360" w:type="dxa"/>
            <w:shd w:val="clear" w:color="auto" w:fill="auto"/>
          </w:tcPr>
          <w:p w:rsidR="00A77B3E">
            <w:pPr>
              <w:pStyle w:val="mqspa"/>
              <w:jc w:val="left"/>
            </w:pPr>
            <w:r>
              <w:rPr>
                <w:noProof w:val="0"/>
              </w:rPr>
              <w:t>Los mercados reaccionaron con rapidez a la posibilidad de que el ciclo de recortes de tipos de la Fed empezase más tarde de lo previsto y, si bien ello no altera nuestras perspectivas para el año, pone de manifiesto la volatilidad que podemos esperar en el plano de los tipos a medida que los inversores ajustan sus expectativas.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38</w:t>
              <w:br/>
            </w:r>
            <w:r>
              <w:rPr>
                <w:noProof/>
                <w:sz w:val="2"/>
              </w:rPr>
              <w:t>90a4b984-1912-414f-a1d0-54b7e648f8bf</w:t>
            </w:r>
          </w:p>
        </w:tc>
        <w:tc>
          <w:tcPr>
            <w:tcW w:w="360" w:type="dxa"/>
            <w:shd w:val="clear" w:color="auto" w:fill="F2F2F2"/>
          </w:tcPr>
          <w:p w:rsidR="00A77B3E">
            <w:pPr>
              <w:pStyle w:val="mqeng"/>
              <w:jc w:val="left"/>
            </w:pPr>
            <w:r>
              <w:rPr>
                <w:noProof/>
              </w:rPr>
              <w:t>We expect this volatility to spill over into high yield spreads and see two potential scenarios playing out: a near-term spread bear market caused by anything that reignites inflationary concerns, or a temporary re-acceleration of growth that leads to central banks pushing back rate cuts.</w:t>
            </w:r>
          </w:p>
        </w:tc>
        <w:tc>
          <w:tcPr>
            <w:tcW w:w="360" w:type="dxa"/>
            <w:shd w:val="clear" w:color="auto" w:fill="auto"/>
          </w:tcPr>
          <w:p w:rsidR="00A77B3E">
            <w:pPr>
              <w:pStyle w:val="mqspa"/>
              <w:jc w:val="left"/>
            </w:pPr>
            <w:r>
              <w:rPr>
                <w:noProof w:val="0"/>
              </w:rPr>
              <w:t xml:space="preserve">Prevemos que esta volatilidad repercutirá en los diferenciales del </w:t>
            </w:r>
            <w:r>
              <w:rPr>
                <w:b w:val="0"/>
                <w:i/>
                <w:noProof w:val="0"/>
                <w:u w:val="none"/>
                <w:vertAlign w:val="baseline"/>
              </w:rPr>
              <w:t>high yield</w:t>
            </w:r>
            <w:r>
              <w:rPr>
                <w:b w:val="0"/>
                <w:i w:val="0"/>
                <w:noProof w:val="0"/>
                <w:u w:val="none"/>
                <w:vertAlign w:val="baseline"/>
              </w:rPr>
              <w:t xml:space="preserve"> y creemos que podrían materializarse dos escenarios: bien un mercado bajista en el plano de los diferenciales a corto plazo provocado por cualquier factor que reavive las preocupaciones sobre la inflación, bien una nueva aceleración temporal del crecimiento que lleve a los bancos centrales a posponer los recortes de tipos.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39</w:t>
              <w:br/>
            </w:r>
            <w:r>
              <w:rPr>
                <w:noProof/>
                <w:sz w:val="2"/>
              </w:rPr>
              <w:t>f6b58162-8824-42cd-9b08-85ec0c35c6b0</w:t>
            </w:r>
          </w:p>
        </w:tc>
        <w:tc>
          <w:tcPr>
            <w:tcW w:w="360" w:type="dxa"/>
            <w:shd w:val="clear" w:color="auto" w:fill="F2F2F2"/>
          </w:tcPr>
          <w:p w:rsidR="00A77B3E">
            <w:pPr>
              <w:pStyle w:val="mqeng"/>
              <w:jc w:val="left"/>
            </w:pPr>
            <w:r>
              <w:rPr>
                <w:noProof/>
              </w:rPr>
              <w:t>A steady spread bull market could happen if it becomes clear that inflation is firmly defeated.</w:t>
            </w:r>
          </w:p>
        </w:tc>
        <w:tc>
          <w:tcPr>
            <w:tcW w:w="360" w:type="dxa"/>
            <w:shd w:val="clear" w:color="auto" w:fill="auto"/>
          </w:tcPr>
          <w:p w:rsidR="00A77B3E">
            <w:pPr>
              <w:pStyle w:val="mqspa"/>
              <w:jc w:val="left"/>
            </w:pPr>
            <w:r>
              <w:rPr>
                <w:noProof w:val="0"/>
              </w:rPr>
              <w:t>Podríamos asistir a un mercado alcista de naturaleza constante en el ámbito de los diferenciales si resulta evidente que la inflación ha dado claramente su brazo a torcer.</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40</w:t>
              <w:br/>
            </w:r>
            <w:r>
              <w:rPr>
                <w:noProof/>
                <w:sz w:val="2"/>
              </w:rPr>
              <w:t>59846e3e-5158-47dd-9069-35290b17cb53</w:t>
            </w:r>
          </w:p>
        </w:tc>
        <w:tc>
          <w:tcPr>
            <w:tcW w:w="360" w:type="dxa"/>
            <w:shd w:val="clear" w:color="auto" w:fill="F2F2F2"/>
          </w:tcPr>
          <w:p w:rsidR="00A77B3E">
            <w:pPr>
              <w:pStyle w:val="mqeng"/>
              <w:jc w:val="left"/>
            </w:pPr>
            <w:r>
              <w:rPr>
                <w:noProof/>
              </w:rPr>
              <w:t>Central banks embark on rate cuts to prevent real rates becoming too restrictive, which benefits spread assets.</w:t>
            </w:r>
          </w:p>
        </w:tc>
        <w:tc>
          <w:tcPr>
            <w:tcW w:w="360" w:type="dxa"/>
            <w:shd w:val="clear" w:color="auto" w:fill="auto"/>
          </w:tcPr>
          <w:p w:rsidR="00A77B3E">
            <w:pPr>
              <w:pStyle w:val="mqspa"/>
              <w:jc w:val="left"/>
            </w:pPr>
            <w:r>
              <w:rPr>
                <w:noProof w:val="0"/>
              </w:rPr>
              <w:t>Los bancos centrales efectúan recortes de tipos para evitar que los tipos reales pasen a ser demasiado restrictivos, lo que redunda en beneficio de los activos de diferenciales.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41</w:t>
              <w:br/>
            </w:r>
            <w:r>
              <w:rPr>
                <w:noProof/>
                <w:sz w:val="2"/>
              </w:rPr>
              <w:t>0caa445a-c056-4803-b1b3-1df0dd750ea2</w:t>
            </w:r>
          </w:p>
        </w:tc>
        <w:tc>
          <w:tcPr>
            <w:tcW w:w="360" w:type="dxa"/>
            <w:shd w:val="clear" w:color="auto" w:fill="F2F2F2"/>
          </w:tcPr>
          <w:p w:rsidR="00A77B3E">
            <w:pPr>
              <w:pStyle w:val="mqeng"/>
              <w:jc w:val="left"/>
            </w:pPr>
            <w:r>
              <w:rPr>
                <w:noProof/>
              </w:rPr>
              <w:t>Given the binary outlook, we remain cautious about adding risk and remain focus on selecting companies with strong fundamentals and attractive valuations.</w:t>
            </w:r>
          </w:p>
        </w:tc>
        <w:tc>
          <w:tcPr>
            <w:tcW w:w="360" w:type="dxa"/>
            <w:shd w:val="clear" w:color="auto" w:fill="auto"/>
          </w:tcPr>
          <w:p w:rsidR="00A77B3E">
            <w:pPr>
              <w:pStyle w:val="mqspa"/>
              <w:jc w:val="left"/>
            </w:pPr>
            <w:r>
              <w:rPr>
                <w:noProof w:val="0"/>
              </w:rPr>
              <w:t>En vista del carácter binario de las perspectivas, mantenemos la prudencia a la hora de incrementar el riesgo y seguimos centrados en seleccionar empresas que cuentan con sólidos fundamentales y que presentan unas valoraciones atractivas.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(83%)</w:t>
            </w:r>
          </w:p>
        </w:tc>
      </w:tr>
      <w:tr>
        <w:tblPrEx>
          <w:tblW w:w="5000" w:type="pct"/>
          <w:tblCellMar>
            <w:left w:w="108" w:type="dxa"/>
            <w:right w:w="108" w:type="dxa"/>
          </w:tblCellMar>
        </w:tblPrEx>
        <w:tc>
          <w:tcPr>
            <w:tcW w:w="360" w:type="dxa"/>
            <w:shd w:val="clear" w:color="auto" w:fill="F2F2F2"/>
          </w:tcPr>
          <w:p w:rsidR="00A77B3E">
            <w:pPr>
              <w:jc w:val="left"/>
            </w:pPr>
            <w:r>
              <w:rPr>
                <w:noProof/>
                <w:sz w:val="16"/>
              </w:rPr>
              <w:t>42</w:t>
              <w:br/>
            </w:r>
            <w:r>
              <w:rPr>
                <w:noProof/>
                <w:sz w:val="2"/>
              </w:rPr>
              <w:t>bdb2e39e-857f-443d-8f99-a28dffd98a7c</w:t>
            </w:r>
          </w:p>
        </w:tc>
        <w:tc>
          <w:tcPr>
            <w:tcW w:w="360" w:type="dxa"/>
            <w:shd w:val="clear" w:color="auto" w:fill="F2F2F2"/>
          </w:tcPr>
          <w:p w:rsidR="00A77B3E">
            <w:pPr>
              <w:pStyle w:val="mqeng"/>
              <w:jc w:val="left"/>
            </w:pPr>
            <w:r>
              <w:rPr>
                <w:noProof/>
              </w:rPr>
              <w:t>Despite the increase in supply we saw in January, demand remained strong.</w:t>
            </w:r>
          </w:p>
        </w:tc>
        <w:tc>
          <w:tcPr>
            <w:tcW w:w="360" w:type="dxa"/>
            <w:shd w:val="clear" w:color="auto" w:fill="auto"/>
          </w:tcPr>
          <w:p w:rsidR="00A77B3E">
            <w:pPr>
              <w:pStyle w:val="mqspa"/>
              <w:jc w:val="left"/>
            </w:pPr>
            <w:r>
              <w:rPr>
                <w:noProof w:val="0"/>
              </w:rPr>
              <w:t>A pesar del aumento de la oferta que observamos en enero, la demanda mantuvo su solidez.</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43</w:t>
              <w:br/>
            </w:r>
            <w:r>
              <w:rPr>
                <w:noProof/>
                <w:sz w:val="2"/>
              </w:rPr>
              <w:t>90f5aeac-0870-4cae-b197-633bc30ecbcb</w:t>
            </w:r>
          </w:p>
        </w:tc>
        <w:tc>
          <w:tcPr>
            <w:tcW w:w="360" w:type="dxa"/>
            <w:shd w:val="clear" w:color="auto" w:fill="F2F2F2"/>
          </w:tcPr>
          <w:p w:rsidR="00A77B3E">
            <w:pPr>
              <w:pStyle w:val="mqeng"/>
              <w:jc w:val="left"/>
            </w:pPr>
            <w:r>
              <w:rPr>
                <w:noProof/>
              </w:rPr>
              <w:t>This continues to be a positive technical for the asset class.</w:t>
            </w:r>
          </w:p>
        </w:tc>
        <w:tc>
          <w:tcPr>
            <w:tcW w:w="360" w:type="dxa"/>
            <w:shd w:val="clear" w:color="auto" w:fill="auto"/>
          </w:tcPr>
          <w:p w:rsidR="00A77B3E">
            <w:pPr>
              <w:pStyle w:val="mqspa"/>
              <w:jc w:val="left"/>
            </w:pPr>
            <w:r>
              <w:rPr>
                <w:noProof w:val="0"/>
              </w:rPr>
              <w:t>Ello continúa siendo un factor técnico positivo para la clase de activos.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(67%)</w:t>
            </w:r>
          </w:p>
        </w:tc>
      </w:tr>
      <w:tr>
        <w:tblPrEx>
          <w:tblW w:w="5000" w:type="pct"/>
          <w:tblCellMar>
            <w:left w:w="108" w:type="dxa"/>
            <w:right w:w="108" w:type="dxa"/>
          </w:tblCellMar>
        </w:tblPrEx>
        <w:tc>
          <w:tcPr>
            <w:tcW w:w="360" w:type="dxa"/>
            <w:shd w:val="clear" w:color="auto" w:fill="F2F2F2"/>
          </w:tcPr>
          <w:p w:rsidR="00A77B3E">
            <w:pPr>
              <w:jc w:val="left"/>
            </w:pPr>
            <w:r>
              <w:rPr>
                <w:noProof/>
                <w:sz w:val="16"/>
              </w:rPr>
              <w:t>44</w:t>
              <w:br/>
            </w:r>
            <w:r>
              <w:rPr>
                <w:noProof/>
                <w:sz w:val="2"/>
              </w:rPr>
              <w:t>0e53d4f5-5183-4ca7-9b02-5debb1718e7c</w:t>
            </w:r>
          </w:p>
        </w:tc>
        <w:tc>
          <w:tcPr>
            <w:tcW w:w="360" w:type="dxa"/>
            <w:shd w:val="clear" w:color="auto" w:fill="F2F2F2"/>
          </w:tcPr>
          <w:p w:rsidR="00A77B3E">
            <w:pPr>
              <w:pStyle w:val="mqeng"/>
              <w:jc w:val="left"/>
            </w:pPr>
            <w:r>
              <w:rPr>
                <w:noProof/>
              </w:rPr>
              <w:t>However, as we navigate interest rate cuts expectations and an approaching maturity wall, we remain cautious on the companies with increasing leverage and lower interest rate coverage ratios but positive on companies that continue to have reasonably good interest cover ratios and strong free cash flow measures.</w:t>
            </w:r>
          </w:p>
        </w:tc>
        <w:tc>
          <w:tcPr>
            <w:tcW w:w="360" w:type="dxa"/>
            <w:shd w:val="clear" w:color="auto" w:fill="auto"/>
          </w:tcPr>
          <w:p w:rsidR="00A77B3E">
            <w:pPr>
              <w:pStyle w:val="mqspa"/>
              <w:jc w:val="left"/>
            </w:pPr>
            <w:r>
              <w:rPr>
                <w:noProof w:val="0"/>
              </w:rPr>
              <w:t>No obstante, a medida que afrontamos un entorno marcado por las expectativas sobre los recortes de los tipos de interés y por un muro de vencimientos que vemos acercarse en el horizonte, mantenemos la prudencia respecto de las empresas que cuentan con un apalancamiento creciente y con unos ratios de cobertura de intereses inferiores, si bien nos mostramos optimistas sobre las compañías que siguen teniendo unos ratios de cobertura de intereses razonablemente adecuados y unos flujos de caja libre sólidos.</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45</w:t>
              <w:br/>
            </w:r>
            <w:r>
              <w:rPr>
                <w:noProof/>
                <w:sz w:val="2"/>
              </w:rPr>
              <w:t>585f8183-ec1f-42ce-bad4-e3ae18f3c14c</w:t>
            </w:r>
          </w:p>
        </w:tc>
        <w:tc>
          <w:tcPr>
            <w:tcW w:w="360" w:type="dxa"/>
            <w:shd w:val="clear" w:color="auto" w:fill="F2F2F2"/>
          </w:tcPr>
          <w:p w:rsidR="00A77B3E">
            <w:pPr>
              <w:pStyle w:val="mqeng"/>
              <w:jc w:val="left"/>
            </w:pPr>
            <w:r>
              <w:rPr>
                <w:noProof/>
              </w:rPr>
              <w:t>The deterioration in credit ratios is mild.</w:t>
            </w:r>
          </w:p>
        </w:tc>
        <w:tc>
          <w:tcPr>
            <w:tcW w:w="360" w:type="dxa"/>
            <w:shd w:val="clear" w:color="auto" w:fill="auto"/>
          </w:tcPr>
          <w:p w:rsidR="00A77B3E">
            <w:pPr>
              <w:pStyle w:val="mqspa"/>
              <w:jc w:val="left"/>
            </w:pPr>
            <w:r>
              <w:rPr>
                <w:noProof w:val="0"/>
              </w:rPr>
              <w:t>El deterioro de los ratios de crédito resulta leve.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46</w:t>
              <w:br/>
            </w:r>
            <w:r>
              <w:rPr>
                <w:noProof/>
                <w:sz w:val="2"/>
              </w:rPr>
              <w:t>4f142176-98b2-4e61-aabc-e09d55fe7e7c</w:t>
            </w:r>
          </w:p>
        </w:tc>
        <w:tc>
          <w:tcPr>
            <w:tcW w:w="360" w:type="dxa"/>
            <w:shd w:val="clear" w:color="auto" w:fill="F2F2F2"/>
          </w:tcPr>
          <w:p w:rsidR="00A77B3E">
            <w:pPr>
              <w:pStyle w:val="mqeng"/>
              <w:jc w:val="left"/>
            </w:pPr>
            <w:r>
              <w:rPr>
                <w:noProof/>
              </w:rPr>
              <w:t>However, we believe default rates are likely to peak at relatively low levels, with a slightly higher default rate in the US given it has a lower-quality high yield bond market than Europe.</w:t>
            </w:r>
          </w:p>
        </w:tc>
        <w:tc>
          <w:tcPr>
            <w:tcW w:w="360" w:type="dxa"/>
            <w:shd w:val="clear" w:color="auto" w:fill="auto"/>
          </w:tcPr>
          <w:p w:rsidR="00A77B3E">
            <w:pPr>
              <w:pStyle w:val="mqspa"/>
              <w:jc w:val="left"/>
            </w:pPr>
            <w:r>
              <w:rPr>
                <w:noProof w:val="0"/>
              </w:rPr>
              <w:t xml:space="preserve">Sin embargo, creemos que las tasas de impago seguramente tocarán techo en niveles relativamente reducidos y que observaremos unas tasas de impago ligeramente superiores en EE. UU., en vista de que la calidad del mercado de bonos </w:t>
            </w:r>
            <w:r>
              <w:rPr>
                <w:b w:val="0"/>
                <w:i/>
                <w:noProof w:val="0"/>
                <w:u w:val="none"/>
                <w:vertAlign w:val="baseline"/>
              </w:rPr>
              <w:t>high yield</w:t>
            </w:r>
            <w:r>
              <w:rPr>
                <w:b w:val="0"/>
                <w:i w:val="0"/>
                <w:noProof w:val="0"/>
                <w:u w:val="none"/>
                <w:vertAlign w:val="baseline"/>
              </w:rPr>
              <w:t xml:space="preserve"> del país resulta inferior a la de su homólogo europeo.</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47</w:t>
              <w:br/>
            </w:r>
            <w:r>
              <w:rPr>
                <w:noProof/>
                <w:sz w:val="2"/>
              </w:rPr>
              <w:t>2c21efce-821f-41ca-a3fc-16fe1b24d847</w:t>
            </w:r>
          </w:p>
        </w:tc>
        <w:tc>
          <w:tcPr>
            <w:tcW w:w="360" w:type="dxa"/>
            <w:shd w:val="clear" w:color="auto" w:fill="F2F2F2"/>
          </w:tcPr>
          <w:p w:rsidR="00A77B3E">
            <w:pPr>
              <w:pStyle w:val="mqeng"/>
              <w:jc w:val="left"/>
            </w:pPr>
            <w:r>
              <w:rPr>
                <w:noProof/>
              </w:rPr>
              <w:t>Distress is concentrated in the real estate, telecommunications, media and pharmaceutical sectors.</w:t>
            </w:r>
          </w:p>
        </w:tc>
        <w:tc>
          <w:tcPr>
            <w:tcW w:w="360" w:type="dxa"/>
            <w:shd w:val="clear" w:color="auto" w:fill="auto"/>
          </w:tcPr>
          <w:p w:rsidR="00A77B3E">
            <w:pPr>
              <w:pStyle w:val="mqspa"/>
              <w:jc w:val="left"/>
            </w:pPr>
            <w:r>
              <w:rPr>
                <w:noProof w:val="0"/>
              </w:rPr>
              <w:t>Las dificultades se concentran en los sectores inmobiliario, farmacéutico, de telecomunicaciones y de medios de comunicación.</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48</w:t>
              <w:br/>
            </w:r>
            <w:r>
              <w:rPr>
                <w:noProof/>
                <w:sz w:val="2"/>
              </w:rPr>
              <w:t>25e24f12-73c6-4341-8326-55babc39fa7e</w:t>
            </w:r>
          </w:p>
        </w:tc>
        <w:tc>
          <w:tcPr>
            <w:tcW w:w="360" w:type="dxa"/>
            <w:shd w:val="clear" w:color="auto" w:fill="F2F2F2"/>
          </w:tcPr>
          <w:p w:rsidR="00A77B3E">
            <w:pPr>
              <w:pStyle w:val="mqeng"/>
              <w:jc w:val="left"/>
            </w:pPr>
            <w:r>
              <w:rPr>
                <w:noProof/>
              </w:rPr>
              <w:t>Shifting work habits, debt loads and higher financing costs explain the problems in real estate, whereas the media sector has been struggling from weakness in cable operators and a general softening in advertising.</w:t>
            </w:r>
          </w:p>
        </w:tc>
        <w:tc>
          <w:tcPr>
            <w:tcW w:w="360" w:type="dxa"/>
            <w:shd w:val="clear" w:color="auto" w:fill="auto"/>
          </w:tcPr>
          <w:p w:rsidR="00A77B3E">
            <w:pPr>
              <w:pStyle w:val="mqspa"/>
              <w:jc w:val="left"/>
            </w:pPr>
            <w:r>
              <w:rPr>
                <w:noProof w:val="0"/>
              </w:rPr>
              <w:t>El cambio de los hábitos laborales, la carga de la deuda y el aumento de los costes de financiación justifican los problemas existentes en el sector inmobiliario. Por su parte, el sector de los medios de comunicación ha estado experimentando dificultades derivadas de la debilidad de los operadores de cable y de una reducción generalizada de la publicidad.</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w:t>
            </w:r>
          </w:p>
        </w:tc>
      </w:tr>
      <w:tr>
        <w:tblPrEx>
          <w:tblW w:w="5000" w:type="pct"/>
          <w:tblCellMar>
            <w:left w:w="108" w:type="dxa"/>
            <w:right w:w="108" w:type="dxa"/>
          </w:tblCellMar>
        </w:tblPrEx>
        <w:tc>
          <w:tcPr>
            <w:tcW w:w="360" w:type="dxa"/>
            <w:shd w:val="clear" w:color="auto" w:fill="F2F2F2"/>
          </w:tcPr>
          <w:p w:rsidR="00A77B3E">
            <w:pPr>
              <w:jc w:val="left"/>
            </w:pPr>
            <w:r>
              <w:rPr>
                <w:noProof/>
                <w:sz w:val="16"/>
              </w:rPr>
              <w:t>49</w:t>
              <w:br/>
            </w:r>
            <w:r>
              <w:rPr>
                <w:noProof/>
                <w:sz w:val="2"/>
              </w:rPr>
              <w:t>4573bc10-ad2b-4282-97f8-1f5f5c3b5e64</w:t>
            </w:r>
          </w:p>
        </w:tc>
        <w:tc>
          <w:tcPr>
            <w:tcW w:w="360" w:type="dxa"/>
            <w:shd w:val="clear" w:color="auto" w:fill="F2F2F2"/>
          </w:tcPr>
          <w:p w:rsidR="00A77B3E">
            <w:pPr>
              <w:pStyle w:val="mqeng"/>
              <w:jc w:val="left"/>
            </w:pPr>
            <w:r>
              <w:rPr>
                <w:noProof/>
              </w:rPr>
              <w:t>In this macroeconomic and credit environment, where trajectory is uncertain and tail risks significant, we continue to draw on the expertise of our credit research team to select what we see as attractively priced, high-quality issues while also managing upside potential and downside risks in the portfolio.</w:t>
            </w:r>
          </w:p>
        </w:tc>
        <w:tc>
          <w:tcPr>
            <w:tcW w:w="360" w:type="dxa"/>
            <w:shd w:val="clear" w:color="auto" w:fill="auto"/>
          </w:tcPr>
          <w:p w:rsidR="00A77B3E">
            <w:pPr>
              <w:pStyle w:val="mqspa"/>
              <w:jc w:val="left"/>
            </w:pPr>
            <w:r>
              <w:rPr>
                <w:noProof w:val="0"/>
              </w:rPr>
              <w:t>En este entorno macroeconómico y crediticio donde la trayectoria que seguirán los mercados resulta incierta y donde existen riesgos extremos (</w:t>
            </w:r>
            <w:r>
              <w:rPr>
                <w:b w:val="0"/>
                <w:i/>
                <w:noProof w:val="0"/>
                <w:u w:val="none"/>
                <w:vertAlign w:val="baseline"/>
              </w:rPr>
              <w:t>tail risks</w:t>
            </w:r>
            <w:r>
              <w:rPr>
                <w:b w:val="0"/>
                <w:i w:val="0"/>
                <w:noProof w:val="0"/>
                <w:u w:val="none"/>
                <w:vertAlign w:val="baseline"/>
              </w:rPr>
              <w:t>) significativos, seguimos apoyándonos en la experiencia de nuestro equipo de análisis de crédito para seleccionar lo que en nuestra opinión constituyen emisiones de elevada calidad que presentan precios atractivos, al tiempo que gestionamos el potencial alcista y los riesgos bajistas en la cartera.</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(67%)</w:t>
            </w:r>
          </w:p>
        </w:tc>
      </w:tr>
      <w:tr>
        <w:tblPrEx>
          <w:tblW w:w="5000" w:type="pct"/>
          <w:tblCellMar>
            <w:left w:w="108" w:type="dxa"/>
            <w:right w:w="108" w:type="dxa"/>
          </w:tblCellMar>
        </w:tblPrEx>
        <w:tc>
          <w:tcPr>
            <w:tcW w:w="360" w:type="dxa"/>
            <w:shd w:val="clear" w:color="auto" w:fill="F2F2F2"/>
          </w:tcPr>
          <w:p w:rsidR="00A77B3E">
            <w:pPr>
              <w:jc w:val="left"/>
            </w:pPr>
            <w:r>
              <w:rPr>
                <w:noProof/>
                <w:sz w:val="16"/>
              </w:rPr>
              <w:t>50</w:t>
              <w:br/>
            </w:r>
            <w:r>
              <w:rPr>
                <w:noProof/>
                <w:sz w:val="2"/>
              </w:rPr>
              <w:t>20a0624d-f2b4-43d9-be6a-50fdb8fcf292</w:t>
            </w:r>
          </w:p>
        </w:tc>
        <w:tc>
          <w:tcPr>
            <w:tcW w:w="360" w:type="dxa"/>
            <w:shd w:val="clear" w:color="auto" w:fill="F2F2F2"/>
          </w:tcPr>
          <w:p w:rsidR="00A77B3E">
            <w:pPr>
              <w:pStyle w:val="mqeng"/>
              <w:jc w:val="left"/>
            </w:pPr>
            <w:r>
              <w:rPr>
                <w:noProof/>
              </w:rPr>
              <w:t>We feel a discriminating approach to security selection, combined with nimbleness in adding or removing risk from the portfolio, will be key to delivering attractive risk-adjusted returns.</w:t>
            </w:r>
          </w:p>
        </w:tc>
        <w:tc>
          <w:tcPr>
            <w:tcW w:w="360" w:type="dxa"/>
            <w:shd w:val="clear" w:color="auto" w:fill="auto"/>
          </w:tcPr>
          <w:p w:rsidR="00A77B3E">
            <w:pPr>
              <w:pStyle w:val="mqspa"/>
              <w:jc w:val="left"/>
            </w:pPr>
            <w:r>
              <w:rPr>
                <w:noProof w:val="0"/>
              </w:rPr>
              <w:t>Consideramos que la adopción de un enfoque selectivo a la hora de seleccionar los valores, en combinación con un planteamiento ágil para incrementar o reducir el riesgo de la cartera, resultarán fundamentales de cara a generar una rentabilidad ajustada al riesgo atractiva.</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(63%)</w:t>
            </w:r>
          </w:p>
        </w:tc>
      </w:tr>
      <w:tr>
        <w:tblPrEx>
          <w:tblW w:w="5000" w:type="pct"/>
          <w:tblCellMar>
            <w:left w:w="108" w:type="dxa"/>
            <w:right w:w="108" w:type="dxa"/>
          </w:tblCellMar>
        </w:tblPrEx>
        <w:tc>
          <w:tcPr>
            <w:tcW w:w="360" w:type="dxa"/>
            <w:shd w:val="clear" w:color="auto" w:fill="F2F2F2"/>
          </w:tcPr>
          <w:p w:rsidR="00A77B3E">
            <w:pPr>
              <w:jc w:val="left"/>
            </w:pPr>
            <w:r>
              <w:rPr>
                <w:noProof/>
                <w:sz w:val="16"/>
              </w:rPr>
              <w:t>51</w:t>
              <w:br/>
            </w:r>
            <w:r>
              <w:rPr>
                <w:noProof/>
                <w:sz w:val="2"/>
              </w:rPr>
              <w:t>779326dd-8be6-4d9c-bd7b-5dadb971a752</w:t>
            </w:r>
          </w:p>
        </w:tc>
        <w:tc>
          <w:tcPr>
            <w:tcW w:w="360" w:type="dxa"/>
            <w:shd w:val="clear" w:color="auto" w:fill="F2F2F2"/>
          </w:tcPr>
          <w:p w:rsidR="00A77B3E">
            <w:pPr>
              <w:pStyle w:val="mqeng"/>
              <w:jc w:val="left"/>
            </w:pPr>
            <w:r>
              <w:rPr>
                <w:noProof/>
              </w:rPr>
              <w:t>Source:</w:t>
            </w:r>
          </w:p>
        </w:tc>
        <w:tc>
          <w:tcPr>
            <w:tcW w:w="360" w:type="dxa"/>
            <w:shd w:val="clear" w:color="auto" w:fill="auto"/>
          </w:tcPr>
          <w:p w:rsidR="00A77B3E">
            <w:pPr>
              <w:pStyle w:val="mqspa"/>
              <w:jc w:val="left"/>
            </w:pPr>
            <w:r>
              <w:rPr>
                <w:noProof w:val="0"/>
              </w:rPr>
              <w:t>Fuente:</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(100%)</w:t>
            </w:r>
          </w:p>
        </w:tc>
      </w:tr>
      <w:tr>
        <w:tblPrEx>
          <w:tblW w:w="5000" w:type="pct"/>
          <w:tblCellMar>
            <w:left w:w="108" w:type="dxa"/>
            <w:right w:w="108" w:type="dxa"/>
          </w:tblCellMar>
        </w:tblPrEx>
        <w:tc>
          <w:tcPr>
            <w:tcW w:w="360" w:type="dxa"/>
            <w:shd w:val="clear" w:color="auto" w:fill="F2F2F2"/>
          </w:tcPr>
          <w:p w:rsidR="00A77B3E">
            <w:pPr>
              <w:jc w:val="left"/>
            </w:pPr>
            <w:r>
              <w:rPr>
                <w:noProof/>
                <w:sz w:val="16"/>
              </w:rPr>
              <w:t>52</w:t>
              <w:br/>
            </w:r>
            <w:r>
              <w:rPr>
                <w:noProof/>
                <w:sz w:val="2"/>
              </w:rPr>
              <w:t>63421f7c-f36c-43e1-a4ce-2300745c8568</w:t>
            </w:r>
          </w:p>
        </w:tc>
        <w:tc>
          <w:tcPr>
            <w:tcW w:w="360" w:type="dxa"/>
            <w:shd w:val="clear" w:color="auto" w:fill="F2F2F2"/>
          </w:tcPr>
          <w:p w:rsidR="00A77B3E">
            <w:pPr>
              <w:pStyle w:val="mqeng"/>
              <w:jc w:val="left"/>
            </w:pPr>
            <w:r>
              <w:rPr>
                <w:noProof/>
              </w:rPr>
              <w:t>Janus Henderson Investors, as at 31 January 2024</w:t>
            </w:r>
          </w:p>
        </w:tc>
        <w:tc>
          <w:tcPr>
            <w:tcW w:w="360" w:type="dxa"/>
            <w:shd w:val="clear" w:color="auto" w:fill="auto"/>
          </w:tcPr>
          <w:p w:rsidR="00A77B3E">
            <w:pPr>
              <w:pStyle w:val="mqspa"/>
              <w:jc w:val="left"/>
            </w:pPr>
            <w:r>
              <w:rPr>
                <w:noProof w:val="0"/>
              </w:rPr>
              <w:t>Janus Henderson Investors, a 31 de enero de 2024</w:t>
            </w:r>
          </w:p>
        </w:tc>
        <w:tc>
          <w:tcPr>
            <w:tcW w:w="360" w:type="dxa"/>
            <w:shd w:val="clear" w:color="auto" w:fill="auto"/>
          </w:tcPr>
          <w:p w:rsidR="00A77B3E">
            <w:pPr>
              <w:jc w:val="left"/>
            </w:pPr>
          </w:p>
        </w:tc>
        <w:tc>
          <w:tcPr>
            <w:tcW w:w="360" w:type="dxa"/>
            <w:shd w:val="clear" w:color="auto" w:fill="58A857"/>
          </w:tcPr>
          <w:p w:rsidR="00A77B3E">
            <w:pPr>
              <w:jc w:val="left"/>
            </w:pPr>
            <w:r>
              <w:rPr>
                <w:noProof/>
                <w:sz w:val="16"/>
              </w:rPr>
              <w:t>TR confirmed (101%)</w:t>
            </w:r>
          </w:p>
        </w:tc>
      </w:tr>
    </w:tbl>
    <w:p w:rsidR="00A77B3E"/>
    <w:p w:rsidR="00A77B3E"/>
    <w:sectPr>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Tahoma" w:eastAsia="Tahoma" w:hAnsi="Tahoma" w:cs="Tahoma"/>
      <w:sz w:val="20"/>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mqInternal">
    <w:name w:val="mqInternal"/>
    <w:rPr>
      <w:color w:val="800000"/>
    </w:rPr>
  </w:style>
  <w:style w:type="paragraph" w:customStyle="1" w:styleId="mqspa">
    <w:name w:val="mq:spa"/>
    <w:basedOn w:val="Normal"/>
    <w:rPr>
      <w:lang w:val="es-ES_tradnl" w:eastAsia="es-ES_tradnl" w:bidi="es-ES_tradnl"/>
    </w:rPr>
  </w:style>
  <w:style w:type="paragraph" w:customStyle="1" w:styleId="mqeng">
    <w:name w:val="mq:eng"/>
    <w:basedOn w:val="Normal"/>
    <w:rPr>
      <w:lang w:val="gd-GB" w:eastAsia="gd-GB" w:bidi="gd-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webSettings" Target="webSettings.xml"/><Relationship Id="rId1" Type="http://schemas.openxmlformats.org/officeDocument/2006/relationships/settings" Target="settings.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DCF03D63313F4B9E5FAF0CA42A5F40" ma:contentTypeVersion="19" ma:contentTypeDescription="Create a new document." ma:contentTypeScope="" ma:versionID="ad84825f676abcf08bcdb942be82467c">
  <xsd:schema xmlns:xsd="http://www.w3.org/2001/XMLSchema" xmlns:xs="http://www.w3.org/2001/XMLSchema" xmlns:p="http://schemas.microsoft.com/office/2006/metadata/properties" xmlns:ns2="3d880aeb-51c9-45a9-a1f8-31e2d921e8bc" xmlns:ns3="03275443-a1be-471a-a2c8-5dfd7eb405c0" targetNamespace="http://schemas.microsoft.com/office/2006/metadata/properties" ma:root="true" ma:fieldsID="cf9ff27b2947d2f0ce0749925c07ccd6" ns2:_="" ns3:_="">
    <xsd:import namespace="3d880aeb-51c9-45a9-a1f8-31e2d921e8bc"/>
    <xsd:import namespace="03275443-a1be-471a-a2c8-5dfd7eb405c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880aeb-51c9-45a9-a1f8-31e2d921e8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18"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0a23d72-b190-4a68-b8b8-c59ef18e839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3275443-a1be-471a-a2c8-5dfd7eb405c0"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6182ffc3-fb15-4dfe-aca4-e705a0ba018c}" ma:internalName="TaxCatchAll" ma:showField="CatchAllData" ma:web="03275443-a1be-471a-a2c8-5dfd7eb405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d880aeb-51c9-45a9-a1f8-31e2d921e8bc">
      <Terms xmlns="http://schemas.microsoft.com/office/infopath/2007/PartnerControls"/>
    </lcf76f155ced4ddcb4097134ff3c332f>
    <TaxCatchAll xmlns="03275443-a1be-471a-a2c8-5dfd7eb405c0" xsi:nil="true"/>
  </documentManagement>
</p:properties>
</file>

<file path=customXml/itemProps1.xml><?xml version="1.0" encoding="utf-8"?>
<ds:datastoreItem xmlns:ds="http://schemas.openxmlformats.org/officeDocument/2006/customXml" ds:itemID="{6AAF6DCE-6F00-4491-8EFF-B04720FCC5FB}"/>
</file>

<file path=customXml/itemProps2.xml><?xml version="1.0" encoding="utf-8"?>
<ds:datastoreItem xmlns:ds="http://schemas.openxmlformats.org/officeDocument/2006/customXml" ds:itemID="{2873A6C3-BDBD-4B94-BB33-32A9A02743B5}"/>
</file>

<file path=customXml/itemProps3.xml><?xml version="1.0" encoding="utf-8"?>
<ds:datastoreItem xmlns:ds="http://schemas.openxmlformats.org/officeDocument/2006/customXml" ds:itemID="{B3E99AE9-E9BC-40E3-BA04-E89C950B6278}"/>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asCommentColumn">
    <vt:bool>true</vt:bool>
  </property>
  <property fmtid="{D5CDD505-2E9C-101B-9397-08002B2CF9AE}" pid="3" name="HasStatusColumn">
    <vt:bool>true</vt:bool>
  </property>
  <property fmtid="{D5CDD505-2E9C-101B-9397-08002B2CF9AE}" pid="4" name="HasTwoTargetColumn">
    <vt:bool>false</vt:bool>
  </property>
  <property fmtid="{D5CDD505-2E9C-101B-9397-08002B2CF9AE}" pid="5" name="memoQVersion">
    <vt:lpwstr>11.6.10</vt:lpwstr>
  </property>
  <property fmtid="{D5CDD505-2E9C-101B-9397-08002B2CF9AE}" pid="6" name="ContentTypeId">
    <vt:lpwstr>0x010100B9DCF03D63313F4B9E5FAF0CA42A5F40</vt:lpwstr>
  </property>
</Properties>
</file>