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10.0 -->
  <w:body>
    <w:tbl>
      <w:tblPr>
        <w:tblCaption w:val="TableDocxTableTitle"/>
        <w:tblDescription w:val="bceea047-b8cb-4694-af9e-c7380a558d2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0"/>
        <w:gridCol w:w="6032"/>
        <w:gridCol w:w="6032"/>
        <w:gridCol w:w="1217"/>
        <w:gridCol w:w="166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800" w:type="dxa"/>
            <w:gridSpan w:val="5"/>
            <w:shd w:val="clear" w:color="auto" w:fill="F2F2F2"/>
          </w:tcPr>
          <w:p w:rsidR="00A77B3E">
            <w:pPr>
              <w:jc w:val="center"/>
              <w:rPr>
                <w:b/>
                <w:i w:val="0"/>
                <w:noProof/>
                <w:u w:val="none"/>
                <w:vertAlign w:val="baseline"/>
              </w:rPr>
            </w:pPr>
            <w:r>
              <w:rPr>
                <w:b/>
                <w:i w:val="0"/>
                <w:noProof/>
                <w:u w:val="none"/>
                <w:vertAlign w:val="baseline"/>
              </w:rPr>
              <w:t>JHI_EN_prospectus_mt_sample.docx</w:t>
            </w:r>
          </w:p>
          <w:p w:rsidR="00A77B3E">
            <w:pPr>
              <w:jc w:val="center"/>
              <w:rPr>
                <w:b/>
                <w:i w:val="0"/>
                <w:noProof/>
                <w:u w:val="none"/>
                <w:vertAlign w:val="baseline"/>
              </w:rPr>
            </w:pPr>
            <w:r>
              <w:rPr>
                <w:b/>
                <w:i w:val="0"/>
                <w:noProof/>
                <w:u w:val="none"/>
                <w:vertAlign w:val="baseline"/>
              </w:rPr>
              <w:t>Important! Don’t change segment ID or source text.</w:t>
            </w:r>
          </w:p>
          <w:p w:rsidR="00A77B3E">
            <w:pPr>
              <w:jc w:val="center"/>
              <w:rPr>
                <w:b/>
                <w:i w:val="0"/>
                <w:noProof/>
                <w:u w:val="none"/>
                <w:vertAlign w:val="baseline"/>
              </w:rPr>
            </w:pPr>
            <w:r>
              <w:rPr>
                <w:b/>
                <w:i w:val="0"/>
                <w:noProof/>
                <w:u w:val="none"/>
                <w:vertAlign w:val="baseline"/>
              </w:rPr>
              <w:t>V11.6.10 bceea047-b8cb-4694-af9e-c7380a558d29</w:t>
            </w:r>
          </w:p>
        </w:tc>
      </w:tr>
      <w:tr>
        <w:tblPrEx>
          <w:tblW w:w="5000" w:type="pct"/>
          <w:tblCellMar>
            <w:left w:w="108" w:type="dxa"/>
            <w:right w:w="108" w:type="dxa"/>
          </w:tblCellMar>
        </w:tblPrEx>
        <w:tc>
          <w:tcPr>
            <w:tcW w:w="660" w:type="dxa"/>
            <w:shd w:val="clear" w:color="auto" w:fill="F2F2F2"/>
          </w:tcPr>
          <w:p w:rsidR="00A77B3E">
            <w:pPr>
              <w:jc w:val="left"/>
              <w:rPr>
                <w:b/>
                <w:i w:val="0"/>
                <w:noProof/>
                <w:u w:val="none"/>
                <w:vertAlign w:val="baseline"/>
              </w:rPr>
            </w:pPr>
            <w:r>
              <w:rPr>
                <w:b/>
                <w:i w:val="0"/>
                <w:noProof/>
                <w:u w:val="none"/>
                <w:vertAlign w:val="baseline"/>
              </w:rPr>
              <w:t>ID</w:t>
            </w:r>
          </w:p>
        </w:tc>
        <w:tc>
          <w:tcPr>
            <w:tcW w:w="5949" w:type="dxa"/>
            <w:shd w:val="clear" w:color="auto" w:fill="F2F2F2"/>
          </w:tcPr>
          <w:p w:rsidR="00A77B3E">
            <w:pPr>
              <w:jc w:val="left"/>
              <w:rPr>
                <w:b/>
                <w:i w:val="0"/>
                <w:noProof/>
                <w:u w:val="none"/>
                <w:vertAlign w:val="baseline"/>
              </w:rPr>
            </w:pPr>
            <w:r>
              <w:rPr>
                <w:b/>
                <w:i w:val="0"/>
                <w:noProof/>
                <w:u w:val="none"/>
                <w:vertAlign w:val="baseline"/>
              </w:rPr>
              <w:t>English</w:t>
            </w:r>
          </w:p>
        </w:tc>
        <w:tc>
          <w:tcPr>
            <w:tcW w:w="5949" w:type="dxa"/>
            <w:shd w:val="clear" w:color="auto" w:fill="F2F2F2"/>
          </w:tcPr>
          <w:p w:rsidR="00A77B3E">
            <w:pPr>
              <w:jc w:val="left"/>
              <w:rPr>
                <w:b/>
                <w:i w:val="0"/>
                <w:noProof/>
                <w:u w:val="none"/>
                <w:vertAlign w:val="baseline"/>
              </w:rPr>
            </w:pPr>
            <w:r>
              <w:rPr>
                <w:b/>
                <w:i w:val="0"/>
                <w:noProof/>
                <w:u w:val="none"/>
                <w:vertAlign w:val="baseline"/>
              </w:rPr>
              <w:t>Spanish</w:t>
            </w:r>
          </w:p>
        </w:tc>
        <w:tc>
          <w:tcPr>
            <w:tcW w:w="1200" w:type="dxa"/>
            <w:shd w:val="clear" w:color="auto" w:fill="F2F2F2"/>
          </w:tcPr>
          <w:p w:rsidR="00A77B3E">
            <w:pPr>
              <w:jc w:val="left"/>
              <w:rPr>
                <w:b/>
                <w:i w:val="0"/>
                <w:noProof/>
                <w:u w:val="none"/>
                <w:vertAlign w:val="baseline"/>
              </w:rPr>
            </w:pPr>
            <w:r>
              <w:rPr>
                <w:b/>
                <w:i w:val="0"/>
                <w:noProof/>
                <w:u w:val="none"/>
                <w:vertAlign w:val="baseline"/>
              </w:rPr>
              <w:t>Comment</w:t>
            </w:r>
          </w:p>
        </w:tc>
        <w:tc>
          <w:tcPr>
            <w:tcW w:w="1640" w:type="dxa"/>
            <w:shd w:val="clear" w:color="auto" w:fill="F2F2F2"/>
          </w:tcPr>
          <w:p w:rsidR="00A77B3E">
            <w:pPr>
              <w:jc w:val="left"/>
            </w:pPr>
            <w:r>
              <w:rPr>
                <w:b/>
                <w:i w:val="0"/>
                <w:noProof/>
                <w:u w:val="none"/>
                <w:vertAlign w:val="baseline"/>
              </w:rPr>
              <w:t>Status</w:t>
            </w:r>
          </w:p>
        </w:tc>
      </w:tr>
      <w:tr>
        <w:tblPrEx>
          <w:tblW w:w="5000" w:type="pct"/>
          <w:tblCellMar>
            <w:left w:w="108" w:type="dxa"/>
            <w:right w:w="108" w:type="dxa"/>
          </w:tblCellMar>
        </w:tblPrEx>
        <w:tc>
          <w:tcPr>
            <w:tcW w:w="360" w:type="dxa"/>
            <w:shd w:val="clear" w:color="auto" w:fill="F2F2F2"/>
          </w:tcPr>
          <w:p w:rsidR="00A77B3E">
            <w:pPr>
              <w:jc w:val="left"/>
            </w:pPr>
            <w:r>
              <w:rPr>
                <w:noProof/>
                <w:sz w:val="16"/>
              </w:rPr>
              <w:t>1</w:t>
              <w:br/>
            </w:r>
            <w:r>
              <w:rPr>
                <w:noProof/>
                <w:sz w:val="2"/>
              </w:rPr>
              <w:t>ce44dda8-a63b-47a6-a63a-e82865c3e5ab</w:t>
            </w:r>
          </w:p>
        </w:tc>
        <w:tc>
          <w:tcPr>
            <w:tcW w:w="360" w:type="dxa"/>
            <w:shd w:val="clear" w:color="auto" w:fill="F2F2F2"/>
          </w:tcPr>
          <w:p w:rsidR="00A77B3E">
            <w:pPr>
              <w:pStyle w:val="mqeng"/>
              <w:jc w:val="left"/>
            </w:pPr>
            <w:r>
              <w:rPr>
                <w:noProof/>
              </w:rPr>
              <w:t>Important Information</w:t>
            </w:r>
          </w:p>
        </w:tc>
        <w:tc>
          <w:tcPr>
            <w:tcW w:w="360" w:type="dxa"/>
            <w:shd w:val="clear" w:color="auto" w:fill="auto"/>
          </w:tcPr>
          <w:p w:rsidR="00A77B3E">
            <w:pPr>
              <w:pStyle w:val="mqspa"/>
              <w:jc w:val="left"/>
            </w:pPr>
            <w:r>
              <w:rPr>
                <w:noProof w:val="0"/>
              </w:rPr>
              <w:t>Información importante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w:t>
              <w:br/>
            </w:r>
            <w:r>
              <w:rPr>
                <w:noProof/>
                <w:sz w:val="2"/>
              </w:rPr>
              <w:t>fd3d0d42-1de5-412e-9a44-f8469ad1af2c</w:t>
            </w:r>
          </w:p>
        </w:tc>
        <w:tc>
          <w:tcPr>
            <w:tcW w:w="360" w:type="dxa"/>
            <w:shd w:val="clear" w:color="auto" w:fill="F2F2F2"/>
          </w:tcPr>
          <w:p w:rsidR="00A77B3E">
            <w:pPr>
              <w:pStyle w:val="mqeng"/>
              <w:jc w:val="left"/>
            </w:pPr>
            <w:r>
              <w:rPr>
                <w:noProof/>
              </w:rPr>
              <w:t>The Directors, whose names are set out in the section ‘Directors, Management and Administration’ of this Prospectus accept responsibility for the information in this Prospectus.</w:t>
            </w:r>
          </w:p>
        </w:tc>
        <w:tc>
          <w:tcPr>
            <w:tcW w:w="360" w:type="dxa"/>
            <w:shd w:val="clear" w:color="auto" w:fill="auto"/>
          </w:tcPr>
          <w:p w:rsidR="00A77B3E">
            <w:pPr>
              <w:pStyle w:val="mqspa"/>
              <w:jc w:val="left"/>
            </w:pPr>
            <w:r>
              <w:rPr>
                <w:noProof w:val="0"/>
              </w:rPr>
              <w:t>Los Consejeros, cuyos nombres figuran en el apartado «Consejeros, gestión y administración» de este Folleto, aceptan la responsabilidad de la información de este Folleto.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w:t>
              <w:br/>
            </w:r>
            <w:r>
              <w:rPr>
                <w:noProof/>
                <w:sz w:val="2"/>
              </w:rPr>
              <w:t>e38eb145-708c-4d26-8517-74eeb072096a</w:t>
            </w:r>
          </w:p>
        </w:tc>
        <w:tc>
          <w:tcPr>
            <w:tcW w:w="360" w:type="dxa"/>
            <w:shd w:val="clear" w:color="auto" w:fill="F2F2F2"/>
          </w:tcPr>
          <w:p w:rsidR="00A77B3E">
            <w:pPr>
              <w:pStyle w:val="mqeng"/>
              <w:jc w:val="left"/>
            </w:pPr>
            <w:r>
              <w:rPr>
                <w:noProof/>
              </w:rPr>
              <w:t>To the best of the Directors’ knowledge and belief, having taken all reasonable care to ensure that such is the case, the information contained in this Prospectus is in accordance with the facts and does not omit anything likely to affect the import of such information.</w:t>
            </w:r>
          </w:p>
        </w:tc>
        <w:tc>
          <w:tcPr>
            <w:tcW w:w="360" w:type="dxa"/>
            <w:shd w:val="clear" w:color="auto" w:fill="auto"/>
          </w:tcPr>
          <w:p w:rsidR="00A77B3E">
            <w:pPr>
              <w:pStyle w:val="mqspa"/>
              <w:jc w:val="left"/>
            </w:pPr>
            <w:r>
              <w:rPr>
                <w:noProof w:val="0"/>
              </w:rPr>
              <w:t>Según el leal saber de los Consejeros, quienes han tomado todas las medidas razonables para garantizar que así sea, la información contenida en este Folleto se corresponde con los hechos y no omite nada que pueda afectar a la importancia de dicha información.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w:t>
              <w:br/>
            </w:r>
            <w:r>
              <w:rPr>
                <w:noProof/>
                <w:sz w:val="2"/>
              </w:rPr>
              <w:t>68ed9905-2143-492e-be5d-a05f6efab055</w:t>
            </w:r>
          </w:p>
        </w:tc>
        <w:tc>
          <w:tcPr>
            <w:tcW w:w="360" w:type="dxa"/>
            <w:shd w:val="clear" w:color="auto" w:fill="F2F2F2"/>
          </w:tcPr>
          <w:p w:rsidR="00A77B3E">
            <w:pPr>
              <w:pStyle w:val="mqeng"/>
              <w:jc w:val="left"/>
            </w:pPr>
            <w:r>
              <w:rPr>
                <w:noProof/>
              </w:rPr>
              <w:t>The Directors accept responsibility accordingly.</w:t>
            </w:r>
          </w:p>
        </w:tc>
        <w:tc>
          <w:tcPr>
            <w:tcW w:w="360" w:type="dxa"/>
            <w:shd w:val="clear" w:color="auto" w:fill="auto"/>
          </w:tcPr>
          <w:p w:rsidR="00A77B3E">
            <w:pPr>
              <w:pStyle w:val="mqspa"/>
              <w:jc w:val="left"/>
            </w:pPr>
            <w:r>
              <w:rPr>
                <w:noProof w:val="0"/>
              </w:rPr>
              <w:t>Los Consejeros asumen la responsabilidad en consecuencia.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w:t>
              <w:br/>
            </w:r>
            <w:r>
              <w:rPr>
                <w:noProof/>
                <w:sz w:val="2"/>
              </w:rPr>
              <w:t>479f7ddc-2d5b-4d34-9443-f3a2cdb5a712</w:t>
            </w:r>
          </w:p>
        </w:tc>
        <w:tc>
          <w:tcPr>
            <w:tcW w:w="360" w:type="dxa"/>
            <w:shd w:val="clear" w:color="auto" w:fill="F2F2F2"/>
          </w:tcPr>
          <w:p w:rsidR="00A77B3E">
            <w:pPr>
              <w:pStyle w:val="mqeng"/>
              <w:jc w:val="left"/>
            </w:pPr>
            <w:r>
              <w:rPr>
                <w:noProof/>
              </w:rPr>
              <w:t>A KID is available for each Share Class.</w:t>
            </w:r>
          </w:p>
        </w:tc>
        <w:tc>
          <w:tcPr>
            <w:tcW w:w="360" w:type="dxa"/>
            <w:shd w:val="clear" w:color="auto" w:fill="auto"/>
          </w:tcPr>
          <w:p w:rsidR="00A77B3E">
            <w:pPr>
              <w:pStyle w:val="mqspa"/>
              <w:jc w:val="left"/>
            </w:pPr>
            <w:r>
              <w:rPr>
                <w:noProof w:val="0"/>
              </w:rPr>
              <w:t>Se dispone de un KID para cada clase de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w:t>
              <w:br/>
            </w:r>
            <w:r>
              <w:rPr>
                <w:noProof/>
                <w:sz w:val="2"/>
              </w:rPr>
              <w:t>cabc5f72-5197-4e81-9954-6bedac982849</w:t>
            </w:r>
          </w:p>
        </w:tc>
        <w:tc>
          <w:tcPr>
            <w:tcW w:w="360" w:type="dxa"/>
            <w:shd w:val="clear" w:color="auto" w:fill="F2F2F2"/>
          </w:tcPr>
          <w:p w:rsidR="00A77B3E">
            <w:pPr>
              <w:pStyle w:val="mqeng"/>
              <w:jc w:val="left"/>
            </w:pPr>
            <w:r>
              <w:rPr>
                <w:noProof/>
              </w:rPr>
              <w:t>The KID and Prospectus can be obtained from the website www.janushenderson.com or from the Registrar and Transfer Agent.</w:t>
            </w:r>
          </w:p>
        </w:tc>
        <w:tc>
          <w:tcPr>
            <w:tcW w:w="360" w:type="dxa"/>
            <w:shd w:val="clear" w:color="auto" w:fill="auto"/>
          </w:tcPr>
          <w:p w:rsidR="00A77B3E">
            <w:pPr>
              <w:pStyle w:val="mqspa"/>
              <w:jc w:val="left"/>
            </w:pPr>
            <w:r>
              <w:rPr>
                <w:noProof w:val="0"/>
              </w:rPr>
              <w:t>El Documento de datos fundamentales y el Folleto se pueden obtener en el sitio web www.janushenderson.com o del Agente de registro y transferencias.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w:t>
              <w:br/>
            </w:r>
            <w:r>
              <w:rPr>
                <w:noProof/>
                <w:sz w:val="2"/>
              </w:rPr>
              <w:t>55f69df5-bec3-4a7a-9de6-40b208f1ba02</w:t>
            </w:r>
          </w:p>
        </w:tc>
        <w:tc>
          <w:tcPr>
            <w:tcW w:w="360" w:type="dxa"/>
            <w:shd w:val="clear" w:color="auto" w:fill="F2F2F2"/>
          </w:tcPr>
          <w:p w:rsidR="00A77B3E">
            <w:pPr>
              <w:pStyle w:val="mqeng"/>
              <w:jc w:val="left"/>
            </w:pPr>
            <w:r>
              <w:rPr>
                <w:noProof/>
              </w:rPr>
              <w:t>Investors shall be deemed to have read the latest version of each relevant KID prior to submitting every investment application.</w:t>
            </w:r>
          </w:p>
        </w:tc>
        <w:tc>
          <w:tcPr>
            <w:tcW w:w="360" w:type="dxa"/>
            <w:shd w:val="clear" w:color="auto" w:fill="auto"/>
          </w:tcPr>
          <w:p w:rsidR="00A77B3E">
            <w:pPr>
              <w:pStyle w:val="mqspa"/>
              <w:jc w:val="left"/>
            </w:pPr>
            <w:r>
              <w:rPr>
                <w:noProof w:val="0"/>
              </w:rPr>
              <w:t>Los inversores se considerarán que han leído la última versión de cada DDF correspondiente antes de presentar una solicitud de inversión.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w:t>
              <w:br/>
            </w:r>
            <w:r>
              <w:rPr>
                <w:noProof/>
                <w:sz w:val="2"/>
              </w:rPr>
              <w:t>fdc8d647-40af-4ccf-8113-df452e5930c4</w:t>
            </w:r>
          </w:p>
        </w:tc>
        <w:tc>
          <w:tcPr>
            <w:tcW w:w="360" w:type="dxa"/>
            <w:shd w:val="clear" w:color="auto" w:fill="F2F2F2"/>
          </w:tcPr>
          <w:p w:rsidR="00A77B3E">
            <w:pPr>
              <w:pStyle w:val="mqeng"/>
              <w:jc w:val="left"/>
            </w:pPr>
            <w:r>
              <w:rPr>
                <w:noProof/>
              </w:rPr>
              <w:t>Subscriptions can be made only on the basis of the relevant Application Form and this current Prospectus accompanied by the latest version of the relevant KID, the latest available audited annual report of the Company and by the latest half yearly report, if published later than such annual report.</w:t>
            </w:r>
          </w:p>
        </w:tc>
        <w:tc>
          <w:tcPr>
            <w:tcW w:w="360" w:type="dxa"/>
            <w:shd w:val="clear" w:color="auto" w:fill="auto"/>
          </w:tcPr>
          <w:p w:rsidR="00A77B3E">
            <w:pPr>
              <w:pStyle w:val="mqspa"/>
              <w:jc w:val="left"/>
            </w:pPr>
            <w:r>
              <w:rPr>
                <w:noProof w:val="0"/>
              </w:rPr>
              <w:t>Las suscripciones solo se pueden realizar sobre la base del Formulario de solicitud correspondiente y este Folleto informativo actual acompañado de la última versión del Documento de datos fundamentales correspondiente, el último informe anual auditado de la Sociedad y el último informe anual, si se publica después de dicho informe anual.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w:t>
              <w:br/>
            </w:r>
            <w:r>
              <w:rPr>
                <w:noProof/>
                <w:sz w:val="2"/>
              </w:rPr>
              <w:t>29890d28-0015-49a3-8a64-d40a881813e6</w:t>
            </w:r>
          </w:p>
        </w:tc>
        <w:tc>
          <w:tcPr>
            <w:tcW w:w="360" w:type="dxa"/>
            <w:shd w:val="clear" w:color="auto" w:fill="F2F2F2"/>
          </w:tcPr>
          <w:p w:rsidR="00A77B3E">
            <w:pPr>
              <w:pStyle w:val="mqeng"/>
              <w:jc w:val="left"/>
            </w:pPr>
            <w:r>
              <w:rPr>
                <w:noProof/>
              </w:rPr>
              <w:t>Subsidiaries and/or delegated third parties of the Janus Henderson Group that investors communicate with about their investment may record telephone calls and other communications for training, quality and monitoring purposes and to meet regulatory record keeping obligations.</w:t>
            </w:r>
          </w:p>
        </w:tc>
        <w:tc>
          <w:tcPr>
            <w:tcW w:w="360" w:type="dxa"/>
            <w:shd w:val="clear" w:color="auto" w:fill="auto"/>
          </w:tcPr>
          <w:p w:rsidR="00A77B3E">
            <w:pPr>
              <w:pStyle w:val="mqspa"/>
              <w:jc w:val="left"/>
            </w:pPr>
            <w:r>
              <w:rPr>
                <w:noProof w:val="0"/>
              </w:rPr>
              <w:t>Las filiales y/o los terceros delegados del Grupo Janus Henderson con los que los inversores se pongan en contacto sobre su inversión pueden grabar las llamadas telefónicas y otras comunicaciones con fines formativos, de calidad y de control y para cumplir las obligaciones reglamentarias de mantenimiento de registros.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w:t>
              <w:br/>
            </w:r>
            <w:r>
              <w:rPr>
                <w:noProof/>
                <w:sz w:val="2"/>
              </w:rPr>
              <w:t>862d5ca0-d269-46f3-80d1-b7784895a5c9</w:t>
            </w:r>
          </w:p>
        </w:tc>
        <w:tc>
          <w:tcPr>
            <w:tcW w:w="360" w:type="dxa"/>
            <w:shd w:val="clear" w:color="auto" w:fill="F2F2F2"/>
          </w:tcPr>
          <w:p w:rsidR="00A77B3E">
            <w:pPr>
              <w:pStyle w:val="mqeng"/>
              <w:jc w:val="left"/>
            </w:pPr>
            <w:r>
              <w:rPr>
                <w:noProof/>
              </w:rPr>
              <w:t>No person has been authorised to give any information or to make any representations in connection with the offering of Shares other than those contained in this Prospectus and the reports referred to above, and, if given or made, such information or representations must not be relied on as having been authorised by the Company.</w:t>
            </w:r>
          </w:p>
        </w:tc>
        <w:tc>
          <w:tcPr>
            <w:tcW w:w="360" w:type="dxa"/>
            <w:shd w:val="clear" w:color="auto" w:fill="auto"/>
          </w:tcPr>
          <w:p w:rsidR="00A77B3E">
            <w:pPr>
              <w:pStyle w:val="mqspa"/>
              <w:jc w:val="left"/>
            </w:pPr>
            <w:r>
              <w:rPr>
                <w:noProof w:val="0"/>
              </w:rPr>
              <w:t>No se ha autorizado a ninguna persona a dar información o a hacer declaraciones en relación con la oferta de Acciones distinta de las que figuran en este Folleto informativo y en los informes mencionados anteriormente, y, en caso de que se diera o hiciera, dicha información o declaraciones no deberán considerarse como autorizadas por la Sociedad.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w:t>
              <w:br/>
            </w:r>
            <w:r>
              <w:rPr>
                <w:noProof/>
                <w:sz w:val="2"/>
              </w:rPr>
              <w:t>51edb4e4-277c-4a50-8710-4293ee9b2552</w:t>
            </w:r>
          </w:p>
        </w:tc>
        <w:tc>
          <w:tcPr>
            <w:tcW w:w="360" w:type="dxa"/>
            <w:shd w:val="clear" w:color="auto" w:fill="F2F2F2"/>
          </w:tcPr>
          <w:p w:rsidR="00A77B3E">
            <w:pPr>
              <w:pStyle w:val="mqeng"/>
              <w:jc w:val="left"/>
            </w:pPr>
            <w:r>
              <w:rPr>
                <w:noProof/>
              </w:rPr>
              <w:t>The delivery of this Prospectus (whether or not accompanied by any reports) or the issue of Shares shall not, under any circumstances, create any implication that the affairs of the Company have not changed since the date hereof.</w:t>
            </w:r>
          </w:p>
        </w:tc>
        <w:tc>
          <w:tcPr>
            <w:tcW w:w="360" w:type="dxa"/>
            <w:shd w:val="clear" w:color="auto" w:fill="auto"/>
          </w:tcPr>
          <w:p w:rsidR="00A77B3E">
            <w:pPr>
              <w:pStyle w:val="mqspa"/>
              <w:jc w:val="left"/>
            </w:pPr>
            <w:r>
              <w:rPr>
                <w:noProof w:val="0"/>
              </w:rPr>
              <w:t>La entrega de este Folleto (ya sea que esté o no acompañada de ningún informe) o la emisión de Acciones no creará, bajo ninguna circunstancia, ninguna implicación de que los asuntos de la Sociedad no han cambiado desde la fecha del presente documento.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w:t>
              <w:br/>
            </w:r>
            <w:r>
              <w:rPr>
                <w:noProof/>
                <w:sz w:val="2"/>
              </w:rPr>
              <w:t>9fd9655b-dbfb-40ac-8f65-1f3f020fb893</w:t>
            </w:r>
          </w:p>
        </w:tc>
        <w:tc>
          <w:tcPr>
            <w:tcW w:w="360" w:type="dxa"/>
            <w:shd w:val="clear" w:color="auto" w:fill="F2F2F2"/>
          </w:tcPr>
          <w:p w:rsidR="00A77B3E">
            <w:pPr>
              <w:pStyle w:val="mqeng"/>
              <w:jc w:val="left"/>
            </w:pPr>
            <w:r>
              <w:rPr>
                <w:noProof/>
              </w:rPr>
              <w:t>The distribution of this Prospectus and the offering of Shares in certain jurisdictions may be restricted.</w:t>
            </w:r>
          </w:p>
        </w:tc>
        <w:tc>
          <w:tcPr>
            <w:tcW w:w="360" w:type="dxa"/>
            <w:shd w:val="clear" w:color="auto" w:fill="auto"/>
          </w:tcPr>
          <w:p w:rsidR="00A77B3E">
            <w:pPr>
              <w:pStyle w:val="mqspa"/>
              <w:jc w:val="left"/>
            </w:pPr>
            <w:r>
              <w:rPr>
                <w:noProof w:val="0"/>
              </w:rPr>
              <w:t>La distribución de este Folleto y la oferta de Acciones en determinadas jurisdicciones puede estar restringida.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w:t>
              <w:br/>
            </w:r>
            <w:r>
              <w:rPr>
                <w:noProof/>
                <w:sz w:val="2"/>
              </w:rPr>
              <w:t>53256428-284c-4b00-b8a1-8277515a4533</w:t>
            </w:r>
          </w:p>
        </w:tc>
        <w:tc>
          <w:tcPr>
            <w:tcW w:w="360" w:type="dxa"/>
            <w:shd w:val="clear" w:color="auto" w:fill="F2F2F2"/>
          </w:tcPr>
          <w:p w:rsidR="00A77B3E">
            <w:pPr>
              <w:pStyle w:val="mqeng"/>
              <w:jc w:val="left"/>
            </w:pPr>
            <w:r>
              <w:rPr>
                <w:noProof/>
              </w:rPr>
              <w:t>Persons into whose possession this Prospectus comes are required by the Company to inform themselves of and to observe any such restrictions.</w:t>
            </w:r>
          </w:p>
        </w:tc>
        <w:tc>
          <w:tcPr>
            <w:tcW w:w="360" w:type="dxa"/>
            <w:shd w:val="clear" w:color="auto" w:fill="auto"/>
          </w:tcPr>
          <w:p w:rsidR="00A77B3E">
            <w:pPr>
              <w:pStyle w:val="mqspa"/>
              <w:jc w:val="left"/>
            </w:pPr>
            <w:r>
              <w:rPr>
                <w:noProof w:val="0"/>
              </w:rPr>
              <w:t>Las personas que entren en posesión de estas restricciones están obligadas por la Sociedad a informarse y a observar dichas restricciones.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w:t>
              <w:br/>
            </w:r>
            <w:r>
              <w:rPr>
                <w:noProof/>
                <w:sz w:val="2"/>
              </w:rPr>
              <w:t>e0c660a6-d256-4d81-8821-130ca5a7322d</w:t>
            </w:r>
          </w:p>
        </w:tc>
        <w:tc>
          <w:tcPr>
            <w:tcW w:w="360" w:type="dxa"/>
            <w:shd w:val="clear" w:color="auto" w:fill="F2F2F2"/>
          </w:tcPr>
          <w:p w:rsidR="00A77B3E">
            <w:pPr>
              <w:pStyle w:val="mqeng"/>
              <w:jc w:val="left"/>
            </w:pPr>
            <w:r>
              <w:rPr>
                <w:noProof/>
              </w:rPr>
              <w:t>This Prospectus does not constitute an offer or solicitation by anyone in any jurisdiction in which such offer, solicitation is not authorised or to any person to whom it is unlawful to make such offer or solicitation.</w:t>
            </w:r>
          </w:p>
        </w:tc>
        <w:tc>
          <w:tcPr>
            <w:tcW w:w="360" w:type="dxa"/>
            <w:shd w:val="clear" w:color="auto" w:fill="auto"/>
          </w:tcPr>
          <w:p w:rsidR="00A77B3E">
            <w:pPr>
              <w:pStyle w:val="mqspa"/>
              <w:jc w:val="left"/>
            </w:pPr>
            <w:r>
              <w:rPr>
                <w:noProof w:val="0"/>
              </w:rPr>
              <w:t>El presente Folleto no constituye una oferta o promoción por parte de nadie en ninguna jurisdicción en la que dicha oferta o promoción no esté autorizada, ni a ninguna persona a la que sea ilegal hacer dicha oferta o promoción.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w:t>
              <w:br/>
            </w:r>
            <w:r>
              <w:rPr>
                <w:noProof/>
                <w:sz w:val="2"/>
              </w:rPr>
              <w:t>b5494ab3-6890-46bd-af50-b09200870308</w:t>
            </w:r>
          </w:p>
        </w:tc>
        <w:tc>
          <w:tcPr>
            <w:tcW w:w="360" w:type="dxa"/>
            <w:shd w:val="clear" w:color="auto" w:fill="F2F2F2"/>
          </w:tcPr>
          <w:p w:rsidR="00A77B3E">
            <w:pPr>
              <w:pStyle w:val="mqeng"/>
              <w:jc w:val="left"/>
            </w:pPr>
            <w:r>
              <w:rPr>
                <w:noProof/>
              </w:rPr>
              <w:t>The Shares have not been registered before the Superintendencia del Mercado de Valores (“SMV”) and are being placed by means of a private offer.</w:t>
            </w:r>
          </w:p>
        </w:tc>
        <w:tc>
          <w:tcPr>
            <w:tcW w:w="360" w:type="dxa"/>
            <w:shd w:val="clear" w:color="auto" w:fill="auto"/>
          </w:tcPr>
          <w:p w:rsidR="00A77B3E">
            <w:pPr>
              <w:pStyle w:val="mqspa"/>
              <w:jc w:val="left"/>
            </w:pPr>
            <w:r>
              <w:rPr>
                <w:noProof w:val="0"/>
              </w:rPr>
              <w:t>Las Acciones no han sido registradas ante la Superintendencia del Mercado de Valores ("SMV") y se colocan mediante oferta privada.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w:t>
              <w:br/>
            </w:r>
            <w:r>
              <w:rPr>
                <w:noProof/>
                <w:sz w:val="2"/>
              </w:rPr>
              <w:t>261cb5bf-b5d3-435c-a1a1-c8598fb16aaf</w:t>
            </w:r>
          </w:p>
        </w:tc>
        <w:tc>
          <w:tcPr>
            <w:tcW w:w="360" w:type="dxa"/>
            <w:shd w:val="clear" w:color="auto" w:fill="F2F2F2"/>
          </w:tcPr>
          <w:p w:rsidR="00A77B3E">
            <w:pPr>
              <w:pStyle w:val="mqeng"/>
              <w:jc w:val="left"/>
            </w:pPr>
            <w:r>
              <w:rPr>
                <w:noProof/>
              </w:rPr>
              <w:t>SMV has not reviewed the information provided to the investor.</w:t>
            </w:r>
          </w:p>
        </w:tc>
        <w:tc>
          <w:tcPr>
            <w:tcW w:w="360" w:type="dxa"/>
            <w:shd w:val="clear" w:color="auto" w:fill="auto"/>
          </w:tcPr>
          <w:p w:rsidR="00A77B3E">
            <w:pPr>
              <w:pStyle w:val="mqspa"/>
              <w:jc w:val="left"/>
            </w:pPr>
            <w:r>
              <w:rPr>
                <w:noProof w:val="0"/>
              </w:rPr>
              <w:t>La SMV no ha examinado la información facilitada al inversor.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w:t>
              <w:br/>
            </w:r>
            <w:r>
              <w:rPr>
                <w:noProof/>
                <w:sz w:val="2"/>
              </w:rPr>
              <w:t>125e119d-ec79-4615-b83d-c6a421b4bdf4</w:t>
            </w:r>
          </w:p>
        </w:tc>
        <w:tc>
          <w:tcPr>
            <w:tcW w:w="360" w:type="dxa"/>
            <w:shd w:val="clear" w:color="auto" w:fill="F2F2F2"/>
          </w:tcPr>
          <w:p w:rsidR="00A77B3E">
            <w:pPr>
              <w:pStyle w:val="mqeng"/>
              <w:jc w:val="left"/>
            </w:pPr>
            <w:r>
              <w:rPr>
                <w:noProof/>
              </w:rPr>
              <w:t>This Prospectus is only for the exclusive use of institutional investors in Peru and is not for public distribution.</w:t>
            </w:r>
          </w:p>
        </w:tc>
        <w:tc>
          <w:tcPr>
            <w:tcW w:w="360" w:type="dxa"/>
            <w:shd w:val="clear" w:color="auto" w:fill="auto"/>
          </w:tcPr>
          <w:p w:rsidR="00A77B3E">
            <w:pPr>
              <w:pStyle w:val="mqspa"/>
              <w:jc w:val="left"/>
            </w:pPr>
            <w:r>
              <w:rPr>
                <w:noProof w:val="0"/>
              </w:rPr>
              <w:t>Este Folleto informativo es solo para uso exclusivo de inversores institucionales en Perú y no para distribución al público.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w:t>
              <w:br/>
            </w:r>
            <w:r>
              <w:rPr>
                <w:noProof/>
                <w:sz w:val="2"/>
              </w:rPr>
              <w:t>13dd8c17-4c61-44cf-ad5e-0bf174f70cde</w:t>
            </w:r>
          </w:p>
        </w:tc>
        <w:tc>
          <w:tcPr>
            <w:tcW w:w="360" w:type="dxa"/>
            <w:shd w:val="clear" w:color="auto" w:fill="F2F2F2"/>
          </w:tcPr>
          <w:p w:rsidR="00A77B3E">
            <w:pPr>
              <w:pStyle w:val="mqeng"/>
              <w:jc w:val="left"/>
            </w:pPr>
            <w:r>
              <w:rPr>
                <w:noProof/>
              </w:rPr>
              <w:t>The Company draws the investors’ attention to the fact that any investor will only be able to fully exercise their investor rights directly against the Company, notably the right to participate in general shareholders’ meetings if the investor is registered themselves and in their own name in the shareholders’ register of the Company.</w:t>
            </w:r>
          </w:p>
        </w:tc>
        <w:tc>
          <w:tcPr>
            <w:tcW w:w="360" w:type="dxa"/>
            <w:shd w:val="clear" w:color="auto" w:fill="auto"/>
          </w:tcPr>
          <w:p w:rsidR="00A77B3E">
            <w:pPr>
              <w:pStyle w:val="mqspa"/>
              <w:jc w:val="left"/>
            </w:pPr>
            <w:r>
              <w:rPr>
                <w:noProof w:val="0"/>
              </w:rPr>
              <w:t>La Compañía llama la atención de los inversores sobre el hecho de que cualquier inversor únicamente podrá ejercer plenamente sus derechos como inversor directamente frente a la Compañía, especialmente el derecho a participar en las juntas generales de Accionistas, si el inversor está registrado por sí mismo y en su propio nombre en el registro de Accionistas de la Compañía.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w:t>
              <w:br/>
            </w:r>
            <w:r>
              <w:rPr>
                <w:noProof/>
                <w:sz w:val="2"/>
              </w:rPr>
              <w:t>bbfcb0f4-00f1-4d29-af7f-105bd15c5c27</w:t>
            </w:r>
          </w:p>
        </w:tc>
        <w:tc>
          <w:tcPr>
            <w:tcW w:w="360" w:type="dxa"/>
            <w:shd w:val="clear" w:color="auto" w:fill="F2F2F2"/>
          </w:tcPr>
          <w:p w:rsidR="00A77B3E">
            <w:pPr>
              <w:pStyle w:val="mqeng"/>
              <w:jc w:val="left"/>
            </w:pPr>
            <w:r>
              <w:rPr>
                <w:noProof/>
              </w:rPr>
              <w:t>In cases where an investor invests in the Company through an intermediary investing into the Company in their name but on behalf of the investor, it may not always be possible for the investor to exercise certain shareholder rights directly against the Company.</w:t>
            </w:r>
          </w:p>
        </w:tc>
        <w:tc>
          <w:tcPr>
            <w:tcW w:w="360" w:type="dxa"/>
            <w:shd w:val="clear" w:color="auto" w:fill="auto"/>
          </w:tcPr>
          <w:p w:rsidR="00A77B3E">
            <w:pPr>
              <w:pStyle w:val="mqspa"/>
              <w:jc w:val="left"/>
            </w:pPr>
            <w:r>
              <w:rPr>
                <w:noProof w:val="0"/>
              </w:rPr>
              <w:t>En los casos en que un inversor invierte en la Sociedad a través de un intermediario que invierte en la Sociedad en su propio nombre pero en representación del inversor, es posible que no siempre sea posible para el inversor ejercer determinados derechos de Accionista directamente frente a la Sociedad.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w:t>
              <w:br/>
            </w:r>
            <w:r>
              <w:rPr>
                <w:noProof/>
                <w:sz w:val="2"/>
              </w:rPr>
              <w:t>5319f772-2eeb-420a-a03e-a010cb7a7c25</w:t>
            </w:r>
          </w:p>
        </w:tc>
        <w:tc>
          <w:tcPr>
            <w:tcW w:w="360" w:type="dxa"/>
            <w:shd w:val="clear" w:color="auto" w:fill="F2F2F2"/>
          </w:tcPr>
          <w:p w:rsidR="00A77B3E">
            <w:pPr>
              <w:pStyle w:val="mqeng"/>
              <w:jc w:val="left"/>
            </w:pPr>
            <w:r>
              <w:rPr>
                <w:noProof/>
              </w:rPr>
              <w:t>Investors are advised to take advice on their rights.</w:t>
            </w:r>
          </w:p>
        </w:tc>
        <w:tc>
          <w:tcPr>
            <w:tcW w:w="360" w:type="dxa"/>
            <w:shd w:val="clear" w:color="auto" w:fill="auto"/>
          </w:tcPr>
          <w:p w:rsidR="00A77B3E">
            <w:pPr>
              <w:pStyle w:val="mqspa"/>
              <w:jc w:val="left"/>
            </w:pPr>
            <w:r>
              <w:rPr>
                <w:noProof w:val="0"/>
              </w:rPr>
              <w:t>Se recomienda a los inversores que reciban asesoramiento sobre sus derechos.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w:t>
              <w:br/>
            </w:r>
            <w:r>
              <w:rPr>
                <w:noProof/>
                <w:sz w:val="2"/>
              </w:rPr>
              <w:t>d68aa735-9d01-4907-a6e9-fb5300a1833c</w:t>
            </w:r>
          </w:p>
        </w:tc>
        <w:tc>
          <w:tcPr>
            <w:tcW w:w="360" w:type="dxa"/>
            <w:shd w:val="clear" w:color="auto" w:fill="F2F2F2"/>
          </w:tcPr>
          <w:p w:rsidR="00A77B3E">
            <w:pPr>
              <w:pStyle w:val="mqeng"/>
              <w:jc w:val="left"/>
            </w:pPr>
            <w:r>
              <w:rPr>
                <w:noProof/>
              </w:rPr>
              <w:t>The Company is not registered in the United States of America under the Investment Company Act of 1940.</w:t>
            </w:r>
          </w:p>
        </w:tc>
        <w:tc>
          <w:tcPr>
            <w:tcW w:w="360" w:type="dxa"/>
            <w:shd w:val="clear" w:color="auto" w:fill="auto"/>
          </w:tcPr>
          <w:p w:rsidR="00A77B3E">
            <w:pPr>
              <w:pStyle w:val="mqspa"/>
              <w:jc w:val="left"/>
            </w:pPr>
            <w:r>
              <w:rPr>
                <w:noProof w:val="0"/>
              </w:rPr>
              <w:t>La Compañía no está registrada en Estados Unidos de América bajo la Ley de Sociedades de Inversión de 1940.</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w:t>
              <w:br/>
            </w:r>
            <w:r>
              <w:rPr>
                <w:noProof/>
                <w:sz w:val="2"/>
              </w:rPr>
              <w:t>1e50e596-3045-433e-b3b0-6e626c7e291e</w:t>
            </w:r>
          </w:p>
        </w:tc>
        <w:tc>
          <w:tcPr>
            <w:tcW w:w="360" w:type="dxa"/>
            <w:shd w:val="clear" w:color="auto" w:fill="F2F2F2"/>
          </w:tcPr>
          <w:p w:rsidR="00A77B3E">
            <w:pPr>
              <w:pStyle w:val="mqeng"/>
              <w:jc w:val="left"/>
            </w:pPr>
            <w:r>
              <w:rPr>
                <w:noProof/>
              </w:rPr>
              <w:t>The Shares have not been registered in the United States of America under the Securities Act of 1933.</w:t>
            </w:r>
          </w:p>
        </w:tc>
        <w:tc>
          <w:tcPr>
            <w:tcW w:w="360" w:type="dxa"/>
            <w:shd w:val="clear" w:color="auto" w:fill="auto"/>
          </w:tcPr>
          <w:p w:rsidR="00A77B3E">
            <w:pPr>
              <w:pStyle w:val="mqspa"/>
              <w:jc w:val="left"/>
            </w:pPr>
            <w:r>
              <w:rPr>
                <w:noProof w:val="0"/>
              </w:rPr>
              <w:t>Las Acciones no han sido registradas en los Estados Unidos de América bajo la Ley de Valores de 1933.</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w:t>
              <w:br/>
            </w:r>
            <w:r>
              <w:rPr>
                <w:noProof/>
                <w:sz w:val="2"/>
              </w:rPr>
              <w:t>4ca000cd-82e1-4fdc-826b-293e65c76561</w:t>
            </w:r>
          </w:p>
        </w:tc>
        <w:tc>
          <w:tcPr>
            <w:tcW w:w="360" w:type="dxa"/>
            <w:shd w:val="clear" w:color="auto" w:fill="F2F2F2"/>
          </w:tcPr>
          <w:p w:rsidR="00A77B3E">
            <w:pPr>
              <w:pStyle w:val="mqeng"/>
              <w:jc w:val="left"/>
            </w:pPr>
            <w:r>
              <w:rPr>
                <w:noProof/>
              </w:rPr>
              <w:t>The Investment Manager is not registered under the Investment Advisers Act of 1940, as amended.</w:t>
            </w:r>
          </w:p>
        </w:tc>
        <w:tc>
          <w:tcPr>
            <w:tcW w:w="360" w:type="dxa"/>
            <w:shd w:val="clear" w:color="auto" w:fill="auto"/>
          </w:tcPr>
          <w:p w:rsidR="00A77B3E">
            <w:pPr>
              <w:pStyle w:val="mqspa"/>
              <w:jc w:val="left"/>
            </w:pPr>
            <w:r>
              <w:rPr>
                <w:noProof w:val="0"/>
              </w:rPr>
              <w:t>El Gestor de inversiones no está registrado en virtud de la Ley de Asesores de Inversiones de 1940, en su versión modificada.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w:t>
              <w:br/>
            </w:r>
            <w:r>
              <w:rPr>
                <w:noProof/>
                <w:sz w:val="2"/>
              </w:rPr>
              <w:t>14e90b75-1f32-4d7d-9f73-941318ac8b45</w:t>
            </w:r>
          </w:p>
        </w:tc>
        <w:tc>
          <w:tcPr>
            <w:tcW w:w="360" w:type="dxa"/>
            <w:shd w:val="clear" w:color="auto" w:fill="F2F2F2"/>
          </w:tcPr>
          <w:p w:rsidR="00A77B3E">
            <w:pPr>
              <w:pStyle w:val="mqeng"/>
              <w:jc w:val="left"/>
            </w:pPr>
            <w:r>
              <w:rPr>
                <w:noProof/>
              </w:rPr>
              <w:t>The Shares made available under this offer may not be directly or indirectly offered or sold in the United States of America or any of its territories or possessions or areas subject to its jurisdiction or to or for the benefit of residents thereof, unless pursuant to an exemption from registration requirements available under the laws of the United States of America, any applicable statute, rule or interpretation.</w:t>
            </w:r>
          </w:p>
        </w:tc>
        <w:tc>
          <w:tcPr>
            <w:tcW w:w="360" w:type="dxa"/>
            <w:shd w:val="clear" w:color="auto" w:fill="auto"/>
          </w:tcPr>
          <w:p w:rsidR="00A77B3E">
            <w:pPr>
              <w:pStyle w:val="mqspa"/>
              <w:jc w:val="left"/>
            </w:pPr>
            <w:r>
              <w:rPr>
                <w:noProof w:val="0"/>
              </w:rPr>
              <w:t>Las Acciones disponibles bajo esta oferta no pueden ser ofrecidas o vendidas, directa o indirectamente, en los Estados Unidos de América o en cualquiera de sus territorios o dominios o áreas sujetas a su jurisdicción, ni a residentes de estos, a menos que sea de acuerdo con una exención de los requisitos de registro disponibles bajo las leyes de los Estados Unidos de América, cualquier ley, norma o interpretación aplicable.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w:t>
              <w:br/>
            </w:r>
            <w:r>
              <w:rPr>
                <w:noProof/>
                <w:sz w:val="2"/>
              </w:rPr>
              <w:t>2e1b938e-389e-49bc-a143-d7d77012ffb4</w:t>
            </w:r>
          </w:p>
        </w:tc>
        <w:tc>
          <w:tcPr>
            <w:tcW w:w="360" w:type="dxa"/>
            <w:shd w:val="clear" w:color="auto" w:fill="F2F2F2"/>
          </w:tcPr>
          <w:p w:rsidR="00A77B3E">
            <w:pPr>
              <w:pStyle w:val="mqeng"/>
              <w:jc w:val="left"/>
            </w:pPr>
            <w:r>
              <w:rPr>
                <w:noProof/>
              </w:rPr>
              <w:t>Applicants for Shares may be required to declare that they are not U.S. Persons and are not applying for Shares on behalf of any U.S. Person.</w:t>
            </w:r>
          </w:p>
        </w:tc>
        <w:tc>
          <w:tcPr>
            <w:tcW w:w="360" w:type="dxa"/>
            <w:shd w:val="clear" w:color="auto" w:fill="auto"/>
          </w:tcPr>
          <w:p w:rsidR="00A77B3E">
            <w:pPr>
              <w:pStyle w:val="mqspa"/>
              <w:jc w:val="left"/>
            </w:pPr>
            <w:r>
              <w:rPr>
                <w:noProof w:val="0"/>
              </w:rPr>
              <w:t>Los solicitantes de Acciones pueden ser requeridos a declarar que no son Personas Estadounidenses y que no están aplicando Acciones en nombre de ninguna Persona estadounidense.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w:t>
              <w:br/>
            </w:r>
            <w:r>
              <w:rPr>
                <w:noProof/>
                <w:sz w:val="2"/>
              </w:rPr>
              <w:t>b1937e76-2add-4d00-bac1-d060dc2b3d2c</w:t>
            </w:r>
          </w:p>
        </w:tc>
        <w:tc>
          <w:tcPr>
            <w:tcW w:w="360" w:type="dxa"/>
            <w:shd w:val="clear" w:color="auto" w:fill="F2F2F2"/>
          </w:tcPr>
          <w:p w:rsidR="00A77B3E">
            <w:pPr>
              <w:pStyle w:val="mqeng"/>
              <w:jc w:val="left"/>
            </w:pPr>
            <w:r>
              <w:rPr>
                <w:noProof/>
              </w:rPr>
              <w:t>Notwithstanding the foregoing, the Company may arrange for the issue of Shares as part of a private placement to investors who are in the United States or U.S. Persons, who, prior to their acquisition of Shares, deliver to the Company certain representations required under United States securities laws.</w:t>
            </w:r>
          </w:p>
        </w:tc>
        <w:tc>
          <w:tcPr>
            <w:tcW w:w="360" w:type="dxa"/>
            <w:shd w:val="clear" w:color="auto" w:fill="auto"/>
          </w:tcPr>
          <w:p w:rsidR="00A77B3E">
            <w:pPr>
              <w:pStyle w:val="mqspa"/>
              <w:jc w:val="left"/>
            </w:pPr>
            <w:r>
              <w:rPr>
                <w:noProof w:val="0"/>
              </w:rPr>
              <w:t>No obstante lo anterior, la Compañía puede organizar la emisión de Acciones como parte de una colocación privada a inversores que se encuentren en Estados Unidos o Personas estadounidenses, quienes, antes de su adquisición de Acciones, entreguen a la Compañía ciertas declaraciones requeridas bajo las leyes de valores de Estados Unidos.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w:t>
              <w:br/>
            </w:r>
            <w:r>
              <w:rPr>
                <w:noProof/>
                <w:sz w:val="2"/>
              </w:rPr>
              <w:t>43b53599-e6ce-49fb-9d9f-ff6cdaf37a11</w:t>
            </w:r>
          </w:p>
        </w:tc>
        <w:tc>
          <w:tcPr>
            <w:tcW w:w="360" w:type="dxa"/>
            <w:shd w:val="clear" w:color="auto" w:fill="F2F2F2"/>
          </w:tcPr>
          <w:p w:rsidR="00A77B3E">
            <w:pPr>
              <w:pStyle w:val="mqeng"/>
              <w:jc w:val="left"/>
            </w:pPr>
            <w:r>
              <w:rPr>
                <w:noProof/>
              </w:rPr>
              <w:t>Key Features of the Company</w:t>
            </w:r>
          </w:p>
        </w:tc>
        <w:tc>
          <w:tcPr>
            <w:tcW w:w="360" w:type="dxa"/>
            <w:shd w:val="clear" w:color="auto" w:fill="auto"/>
          </w:tcPr>
          <w:p w:rsidR="00A77B3E">
            <w:pPr>
              <w:pStyle w:val="mqspa"/>
              <w:jc w:val="left"/>
            </w:pPr>
            <w:r>
              <w:rPr>
                <w:noProof w:val="0"/>
              </w:rPr>
              <w:t>Características principales de la Compañía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w:t>
              <w:br/>
            </w:r>
            <w:r>
              <w:rPr>
                <w:noProof/>
                <w:sz w:val="2"/>
              </w:rPr>
              <w:t>408f1874-51dd-49c1-8d05-34b24fa62c0d</w:t>
            </w:r>
          </w:p>
        </w:tc>
        <w:tc>
          <w:tcPr>
            <w:tcW w:w="360" w:type="dxa"/>
            <w:shd w:val="clear" w:color="auto" w:fill="F2F2F2"/>
          </w:tcPr>
          <w:p w:rsidR="00A77B3E">
            <w:pPr>
              <w:pStyle w:val="mqeng"/>
              <w:jc w:val="left"/>
            </w:pPr>
            <w:r>
              <w:rPr>
                <w:b/>
                <w:i w:val="0"/>
                <w:noProof/>
                <w:u w:val="none"/>
                <w:vertAlign w:val="baseline"/>
              </w:rPr>
              <w:t>Janus Henderson Horizon Fund (“The Company”)</w:t>
            </w:r>
          </w:p>
        </w:tc>
        <w:tc>
          <w:tcPr>
            <w:tcW w:w="360" w:type="dxa"/>
            <w:shd w:val="clear" w:color="auto" w:fill="auto"/>
          </w:tcPr>
          <w:p w:rsidR="00A77B3E">
            <w:pPr>
              <w:pStyle w:val="mqspa"/>
              <w:jc w:val="left"/>
            </w:pPr>
            <w:r>
              <w:rPr>
                <w:b/>
                <w:i w:val="0"/>
                <w:noProof w:val="0"/>
                <w:u w:val="none"/>
                <w:vertAlign w:val="baseline"/>
              </w:rPr>
              <w:t>Janus Henderson Horizon Fund (la Compañía)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w:t>
              <w:br/>
            </w:r>
            <w:r>
              <w:rPr>
                <w:noProof/>
                <w:sz w:val="2"/>
              </w:rPr>
              <w:t>cd91dc22-e4eb-42d7-8268-9373f59720b2</w:t>
            </w:r>
          </w:p>
        </w:tc>
        <w:tc>
          <w:tcPr>
            <w:tcW w:w="360" w:type="dxa"/>
            <w:shd w:val="clear" w:color="auto" w:fill="F2F2F2"/>
          </w:tcPr>
          <w:p w:rsidR="00A77B3E">
            <w:pPr>
              <w:pStyle w:val="mqeng"/>
              <w:jc w:val="left"/>
            </w:pPr>
            <w:r>
              <w:rPr>
                <w:noProof/>
              </w:rPr>
              <w:t>The Company is an open-ended investment company organised as a société anonyme under the laws of the Grand Duchy of Luxembourg and qualifies as a SICAV.</w:t>
            </w:r>
          </w:p>
        </w:tc>
        <w:tc>
          <w:tcPr>
            <w:tcW w:w="360" w:type="dxa"/>
            <w:shd w:val="clear" w:color="auto" w:fill="auto"/>
          </w:tcPr>
          <w:p w:rsidR="00A77B3E">
            <w:pPr>
              <w:pStyle w:val="mqspa"/>
              <w:jc w:val="left"/>
            </w:pPr>
            <w:r>
              <w:rPr>
                <w:noProof w:val="0"/>
              </w:rPr>
              <w:t>La Compañía es una sociedad de inversión abierta organizada como una sociedad anónima bajo la legislación del Gran Ducado de Luxemburgo y califica como una SICAV.</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w:t>
              <w:br/>
            </w:r>
            <w:r>
              <w:rPr>
                <w:noProof/>
                <w:sz w:val="2"/>
              </w:rPr>
              <w:t>759a331f-5863-4e2a-a385-ef3fc18f1d5d</w:t>
            </w:r>
          </w:p>
        </w:tc>
        <w:tc>
          <w:tcPr>
            <w:tcW w:w="360" w:type="dxa"/>
            <w:shd w:val="clear" w:color="auto" w:fill="F2F2F2"/>
          </w:tcPr>
          <w:p w:rsidR="00A77B3E">
            <w:pPr>
              <w:pStyle w:val="mqeng"/>
              <w:jc w:val="left"/>
            </w:pPr>
            <w:r>
              <w:rPr>
                <w:noProof/>
              </w:rPr>
              <w:t>The Company was incorporated in Luxembourg on 30 May 1985 pursuant to the Luxembourg laws of 10 August 1915 on commercial companies (as amended) and is qualified as an undertaking for collective investment in transferable securities under Part I of the Luxembourg law of 17 December 2010 relating to undertakings for collective investment, as amended (the “Law”).</w:t>
            </w:r>
          </w:p>
        </w:tc>
        <w:tc>
          <w:tcPr>
            <w:tcW w:w="360" w:type="dxa"/>
            <w:shd w:val="clear" w:color="auto" w:fill="auto"/>
          </w:tcPr>
          <w:p w:rsidR="00A77B3E">
            <w:pPr>
              <w:pStyle w:val="mqspa"/>
              <w:jc w:val="left"/>
            </w:pPr>
            <w:r>
              <w:rPr>
                <w:noProof w:val="0"/>
              </w:rPr>
              <w:t>La Compañía fue constituida en Luxemburgo el 30 de mayo de 1985 de conformidad con las leyes luxemburguesas del 10 de agosto de 1915 sobre sociedades comerciales (según enmendadas) y está calificada como una entidad de inversión colectiva en valores transferibles bajo la Parte I de la ley luxemburguesa del 17 de diciembre de 2010 relativa a las entidades de inversión colectiva, según enmendada (la "Ley").</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w:t>
              <w:br/>
            </w:r>
            <w:r>
              <w:rPr>
                <w:noProof/>
                <w:sz w:val="2"/>
              </w:rPr>
              <w:t>4f21a469-7cb1-4424-a48f-0cd50bde0929</w:t>
            </w:r>
          </w:p>
        </w:tc>
        <w:tc>
          <w:tcPr>
            <w:tcW w:w="360" w:type="dxa"/>
            <w:shd w:val="clear" w:color="auto" w:fill="F2F2F2"/>
          </w:tcPr>
          <w:p w:rsidR="00A77B3E">
            <w:pPr>
              <w:pStyle w:val="mqeng"/>
              <w:jc w:val="left"/>
            </w:pPr>
            <w:r>
              <w:rPr>
                <w:noProof/>
              </w:rPr>
              <w:t>The Company has appointed Janus Henderson Investors Europe S.A. as its Management Company.</w:t>
            </w:r>
          </w:p>
        </w:tc>
        <w:tc>
          <w:tcPr>
            <w:tcW w:w="360" w:type="dxa"/>
            <w:shd w:val="clear" w:color="auto" w:fill="auto"/>
          </w:tcPr>
          <w:p w:rsidR="00A77B3E">
            <w:pPr>
              <w:pStyle w:val="mqspa"/>
              <w:jc w:val="left"/>
            </w:pPr>
            <w:r>
              <w:rPr>
                <w:noProof w:val="0"/>
              </w:rPr>
              <w:t>La Compañía ha nombrado a Janus Henderson Investors Europe S.A. como Sociedad de gestión.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w:t>
              <w:br/>
            </w:r>
            <w:r>
              <w:rPr>
                <w:noProof/>
                <w:sz w:val="2"/>
              </w:rPr>
              <w:t>c05086f8-df7d-499f-b487-dc758221b6da</w:t>
            </w:r>
          </w:p>
        </w:tc>
        <w:tc>
          <w:tcPr>
            <w:tcW w:w="360" w:type="dxa"/>
            <w:shd w:val="clear" w:color="auto" w:fill="F2F2F2"/>
          </w:tcPr>
          <w:p w:rsidR="00A77B3E">
            <w:pPr>
              <w:pStyle w:val="mqeng"/>
              <w:jc w:val="left"/>
            </w:pPr>
            <w:r>
              <w:rPr>
                <w:b/>
                <w:i w:val="0"/>
                <w:noProof/>
                <w:u w:val="none"/>
                <w:vertAlign w:val="baseline"/>
              </w:rPr>
              <w:t>What are the product characteristics?</w:t>
            </w:r>
          </w:p>
        </w:tc>
        <w:tc>
          <w:tcPr>
            <w:tcW w:w="360" w:type="dxa"/>
            <w:shd w:val="clear" w:color="auto" w:fill="auto"/>
          </w:tcPr>
          <w:p w:rsidR="00A77B3E">
            <w:pPr>
              <w:pStyle w:val="mqspa"/>
              <w:jc w:val="left"/>
            </w:pPr>
            <w:r>
              <w:rPr>
                <w:b/>
                <w:i w:val="0"/>
                <w:noProof w:val="0"/>
                <w:u w:val="none"/>
                <w:vertAlign w:val="baseline"/>
              </w:rPr>
              <w:t>¿Cuáles son las características del producto?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w:t>
              <w:br/>
            </w:r>
            <w:r>
              <w:rPr>
                <w:noProof/>
                <w:sz w:val="2"/>
              </w:rPr>
              <w:t>eaacafa6-0310-446c-875b-c11038ae334b</w:t>
            </w:r>
          </w:p>
        </w:tc>
        <w:tc>
          <w:tcPr>
            <w:tcW w:w="360" w:type="dxa"/>
            <w:shd w:val="clear" w:color="auto" w:fill="F2F2F2"/>
          </w:tcPr>
          <w:p w:rsidR="00A77B3E">
            <w:pPr>
              <w:pStyle w:val="mqeng"/>
              <w:jc w:val="left"/>
            </w:pPr>
            <w:r>
              <w:rPr>
                <w:noProof/>
              </w:rPr>
              <w:t>In order to meet the specific needs of Shareholders, the Company may create within each Fund different Share Classes whose assets will be commonly invested pursuant to the investment objective of the applicable Fund.</w:t>
            </w:r>
          </w:p>
        </w:tc>
        <w:tc>
          <w:tcPr>
            <w:tcW w:w="360" w:type="dxa"/>
            <w:shd w:val="clear" w:color="auto" w:fill="auto"/>
          </w:tcPr>
          <w:p w:rsidR="00A77B3E">
            <w:pPr>
              <w:pStyle w:val="mqspa"/>
              <w:jc w:val="left"/>
            </w:pPr>
            <w:r>
              <w:rPr>
                <w:noProof w:val="0"/>
              </w:rPr>
              <w:t>Para cumplir con las necesidades específicas de los Accionistas, la Compañía podrá crear dentro de cada Subfondo distintas Clases de Acciones cuyos activos se invertirán conjuntamente de acuerdo con el objetivo de inversión del Subfondo aplicable.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w:t>
              <w:br/>
            </w:r>
            <w:r>
              <w:rPr>
                <w:noProof/>
                <w:sz w:val="2"/>
              </w:rPr>
              <w:t>c4195da7-9639-4dde-a2b9-8b02b2c192b8</w:t>
            </w:r>
          </w:p>
        </w:tc>
        <w:tc>
          <w:tcPr>
            <w:tcW w:w="360" w:type="dxa"/>
            <w:shd w:val="clear" w:color="auto" w:fill="F2F2F2"/>
          </w:tcPr>
          <w:p w:rsidR="00A77B3E">
            <w:pPr>
              <w:pStyle w:val="mqeng"/>
              <w:jc w:val="left"/>
            </w:pPr>
            <w:r>
              <w:rPr>
                <w:noProof/>
              </w:rPr>
              <w:t>The differences between Share Classes relate notably to the minimum investment amounts, the designated currency, the distribution policy, the type of investor who is eligible to invest, the hedging strategy and the charging structure applicable to each of them.</w:t>
            </w:r>
          </w:p>
        </w:tc>
        <w:tc>
          <w:tcPr>
            <w:tcW w:w="360" w:type="dxa"/>
            <w:shd w:val="clear" w:color="auto" w:fill="auto"/>
          </w:tcPr>
          <w:p w:rsidR="00A77B3E">
            <w:pPr>
              <w:pStyle w:val="mqspa"/>
              <w:jc w:val="left"/>
            </w:pPr>
            <w:r>
              <w:rPr>
                <w:noProof w:val="0"/>
              </w:rPr>
              <w:t>Las diferencias entre las Clases de Acciones se relacionan notablemente con los importes mínimos de inversión, las divisas designadas, la política de distribución, el tipo de inversor que puede invertir, la estrategia de cobertura y la estructura de comisiones aplicable a cada una de ellas.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w:t>
              <w:br/>
            </w:r>
            <w:r>
              <w:rPr>
                <w:noProof/>
                <w:sz w:val="2"/>
              </w:rPr>
              <w:t>8a149404-ba8e-4289-95e8-64a3ad43cc1f</w:t>
            </w:r>
          </w:p>
        </w:tc>
        <w:tc>
          <w:tcPr>
            <w:tcW w:w="360" w:type="dxa"/>
            <w:shd w:val="clear" w:color="auto" w:fill="F2F2F2"/>
          </w:tcPr>
          <w:p w:rsidR="00A77B3E">
            <w:pPr>
              <w:pStyle w:val="mqeng"/>
              <w:jc w:val="left"/>
            </w:pPr>
            <w:r>
              <w:rPr>
                <w:noProof/>
              </w:rPr>
              <w:t>The Funds offer Distribution Shares and Accumulation Shares.</w:t>
            </w:r>
          </w:p>
        </w:tc>
        <w:tc>
          <w:tcPr>
            <w:tcW w:w="360" w:type="dxa"/>
            <w:shd w:val="clear" w:color="auto" w:fill="auto"/>
          </w:tcPr>
          <w:p w:rsidR="00A77B3E">
            <w:pPr>
              <w:pStyle w:val="mqspa"/>
              <w:jc w:val="left"/>
            </w:pPr>
            <w:r>
              <w:rPr>
                <w:noProof w:val="0"/>
              </w:rPr>
              <w:t>Los Fondos ofrecen Acciones de reparto y Acciones de capitalización.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w:t>
              <w:br/>
            </w:r>
            <w:r>
              <w:rPr>
                <w:noProof/>
                <w:sz w:val="2"/>
              </w:rPr>
              <w:t>807b58fb-d84b-4371-87db-23244f226294</w:t>
            </w:r>
          </w:p>
        </w:tc>
        <w:tc>
          <w:tcPr>
            <w:tcW w:w="360" w:type="dxa"/>
            <w:shd w:val="clear" w:color="auto" w:fill="F2F2F2"/>
          </w:tcPr>
          <w:p w:rsidR="00A77B3E">
            <w:pPr>
              <w:pStyle w:val="mqeng"/>
              <w:jc w:val="left"/>
            </w:pPr>
            <w:r>
              <w:rPr>
                <w:noProof/>
              </w:rPr>
              <w:t>The Company is a type of Collective Investment Scheme, which allows investors to pool their contributions with those of other like-minded people to create a portfolio of assets.</w:t>
            </w:r>
          </w:p>
        </w:tc>
        <w:tc>
          <w:tcPr>
            <w:tcW w:w="360" w:type="dxa"/>
            <w:shd w:val="clear" w:color="auto" w:fill="auto"/>
          </w:tcPr>
          <w:p w:rsidR="00A77B3E">
            <w:pPr>
              <w:pStyle w:val="mqspa"/>
              <w:jc w:val="left"/>
            </w:pPr>
            <w:r>
              <w:rPr>
                <w:noProof w:val="0"/>
              </w:rPr>
              <w:t>La Compañía es un tipo de Plan de inversión colectiva, que permite a los inversores agrupar sus contribuciones con las de otras personas con ideas afines para crear una cartera de activos.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w:t>
              <w:br/>
            </w:r>
            <w:r>
              <w:rPr>
                <w:noProof/>
                <w:sz w:val="2"/>
              </w:rPr>
              <w:t>ec7010b1-503f-4d0a-a04e-034199ced610</w:t>
            </w:r>
          </w:p>
        </w:tc>
        <w:tc>
          <w:tcPr>
            <w:tcW w:w="360" w:type="dxa"/>
            <w:shd w:val="clear" w:color="auto" w:fill="F2F2F2"/>
          </w:tcPr>
          <w:p w:rsidR="00A77B3E">
            <w:pPr>
              <w:pStyle w:val="mqeng"/>
              <w:jc w:val="left"/>
            </w:pPr>
            <w:r>
              <w:rPr>
                <w:noProof/>
              </w:rPr>
              <w:t>A detailed description of the Company and of the rights attaching to the Shares is set out in the section ‘Further Information’ of this Prospectus.</w:t>
            </w:r>
          </w:p>
        </w:tc>
        <w:tc>
          <w:tcPr>
            <w:tcW w:w="360" w:type="dxa"/>
            <w:shd w:val="clear" w:color="auto" w:fill="auto"/>
          </w:tcPr>
          <w:p w:rsidR="00A77B3E">
            <w:pPr>
              <w:pStyle w:val="mqspa"/>
              <w:jc w:val="left"/>
            </w:pPr>
            <w:r>
              <w:rPr>
                <w:noProof w:val="0"/>
              </w:rPr>
              <w:t>Una descripción detallada de la Sociedad y de los derechos que corresponden a las Acciones se establece en el apartado «Información sobre la información» de este Folleto informativo.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w:t>
              <w:br/>
            </w:r>
            <w:r>
              <w:rPr>
                <w:noProof/>
                <w:sz w:val="2"/>
              </w:rPr>
              <w:t>11884258-2eca-4f75-9041-b1ff902b6d75</w:t>
            </w:r>
          </w:p>
        </w:tc>
        <w:tc>
          <w:tcPr>
            <w:tcW w:w="360" w:type="dxa"/>
            <w:shd w:val="clear" w:color="auto" w:fill="F2F2F2"/>
          </w:tcPr>
          <w:p w:rsidR="00A77B3E">
            <w:pPr>
              <w:pStyle w:val="mqeng"/>
              <w:jc w:val="left"/>
            </w:pPr>
            <w:r>
              <w:rPr>
                <w:noProof/>
              </w:rPr>
              <w:t>Shares may be bought in the Base Currency of a Fund, or in additional Hedged Share Classes and/or Unhedged Share Classes that are made available from time to time.</w:t>
            </w:r>
          </w:p>
        </w:tc>
        <w:tc>
          <w:tcPr>
            <w:tcW w:w="360" w:type="dxa"/>
            <w:shd w:val="clear" w:color="auto" w:fill="auto"/>
          </w:tcPr>
          <w:p w:rsidR="00A77B3E">
            <w:pPr>
              <w:pStyle w:val="mqspa"/>
              <w:jc w:val="left"/>
            </w:pPr>
            <w:r>
              <w:rPr>
                <w:noProof w:val="0"/>
              </w:rPr>
              <w:t>Las Acciones pueden comprarse en la divisa base de un Fondo, o en Clases de Acciones cubiertas y/o Clases de Acciones no cubiertas que se ponen a disposición de vez en cuando.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w:t>
              <w:br/>
            </w:r>
            <w:r>
              <w:rPr>
                <w:noProof/>
                <w:sz w:val="2"/>
              </w:rPr>
              <w:t>0f152816-3f58-49be-bea3-d86cba5ae265</w:t>
            </w:r>
          </w:p>
        </w:tc>
        <w:tc>
          <w:tcPr>
            <w:tcW w:w="360" w:type="dxa"/>
            <w:shd w:val="clear" w:color="auto" w:fill="F2F2F2"/>
          </w:tcPr>
          <w:p w:rsidR="00A77B3E">
            <w:pPr>
              <w:pStyle w:val="mqeng"/>
              <w:jc w:val="left"/>
            </w:pPr>
            <w:r>
              <w:rPr>
                <w:noProof/>
              </w:rPr>
              <w:t>Shares may also be bought using any major currency accepted by the Registrar and Transfer Agent at the discretion of the Company.</w:t>
            </w:r>
          </w:p>
        </w:tc>
        <w:tc>
          <w:tcPr>
            <w:tcW w:w="360" w:type="dxa"/>
            <w:shd w:val="clear" w:color="auto" w:fill="auto"/>
          </w:tcPr>
          <w:p w:rsidR="00A77B3E">
            <w:pPr>
              <w:pStyle w:val="mqspa"/>
              <w:jc w:val="left"/>
            </w:pPr>
            <w:r>
              <w:rPr>
                <w:noProof w:val="0"/>
              </w:rPr>
              <w:t>Las Acciones también pueden ser compradas utilizando cualquier divisa importante aceptada por el Agente de Registro y Transferencias, a discreción de la Sociedad.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w:t>
              <w:br/>
            </w:r>
            <w:r>
              <w:rPr>
                <w:noProof/>
                <w:sz w:val="2"/>
              </w:rPr>
              <w:t>1ec51729-98f0-4dc3-8ae5-14ecf26ac578</w:t>
            </w:r>
          </w:p>
        </w:tc>
        <w:tc>
          <w:tcPr>
            <w:tcW w:w="360" w:type="dxa"/>
            <w:shd w:val="clear" w:color="auto" w:fill="F2F2F2"/>
          </w:tcPr>
          <w:p w:rsidR="00A77B3E">
            <w:pPr>
              <w:pStyle w:val="mqeng"/>
              <w:jc w:val="left"/>
            </w:pPr>
            <w:r>
              <w:rPr>
                <w:noProof/>
              </w:rPr>
              <w:t>However, if the currency of investment is different from the currency of denomination of the relevant Share Class, then the necessary currency conversion will be arranged on behalf, and at the risk and expense, of the applicant.</w:t>
            </w:r>
          </w:p>
        </w:tc>
        <w:tc>
          <w:tcPr>
            <w:tcW w:w="360" w:type="dxa"/>
            <w:shd w:val="clear" w:color="auto" w:fill="auto"/>
          </w:tcPr>
          <w:p w:rsidR="00A77B3E">
            <w:pPr>
              <w:pStyle w:val="mqspa"/>
              <w:jc w:val="left"/>
            </w:pPr>
            <w:r>
              <w:rPr>
                <w:noProof w:val="0"/>
              </w:rPr>
              <w:t>Sin embargo, si la divisa de inversión es diferente de la divisa de denominación de la Clase de Acciones correspondiente, entonces se realizará la conversión de divisas necesaria en nombre del solicitante, y a su riesgo y gasto.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w:t>
              <w:br/>
            </w:r>
            <w:r>
              <w:rPr>
                <w:noProof/>
                <w:sz w:val="2"/>
              </w:rPr>
              <w:t>499c01ed-f1b1-4d14-acc3-a23ca79b6d60</w:t>
            </w:r>
          </w:p>
        </w:tc>
        <w:tc>
          <w:tcPr>
            <w:tcW w:w="360" w:type="dxa"/>
            <w:shd w:val="clear" w:color="auto" w:fill="F2F2F2"/>
          </w:tcPr>
          <w:p w:rsidR="00A77B3E">
            <w:pPr>
              <w:pStyle w:val="mqeng"/>
              <w:jc w:val="left"/>
            </w:pPr>
            <w:r>
              <w:rPr>
                <w:noProof/>
              </w:rPr>
              <w:t>For any Unhedged Share Class, a currency conversion to the Base Currency will take place on subscription, redemption, switching and distributions at prevailing exchange rates.</w:t>
            </w:r>
          </w:p>
        </w:tc>
        <w:tc>
          <w:tcPr>
            <w:tcW w:w="360" w:type="dxa"/>
            <w:shd w:val="clear" w:color="auto" w:fill="auto"/>
          </w:tcPr>
          <w:p w:rsidR="00A77B3E">
            <w:pPr>
              <w:pStyle w:val="mqspa"/>
              <w:jc w:val="left"/>
            </w:pPr>
            <w:r>
              <w:rPr>
                <w:noProof w:val="0"/>
              </w:rPr>
              <w:t>Para cualquier Clase de acciones sin cobertura, se efectuará una conversión de divisas a la divisa base en las suscripciones, reembolsos, canjes y distribuciones a los tipos de cambio vigentes.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w:t>
              <w:br/>
            </w:r>
            <w:r>
              <w:rPr>
                <w:noProof/>
                <w:sz w:val="2"/>
              </w:rPr>
              <w:t>2d87792a-99bf-4cf4-956e-f04c3455fd96</w:t>
            </w:r>
          </w:p>
        </w:tc>
        <w:tc>
          <w:tcPr>
            <w:tcW w:w="360" w:type="dxa"/>
            <w:shd w:val="clear" w:color="auto" w:fill="F2F2F2"/>
          </w:tcPr>
          <w:p w:rsidR="00A77B3E">
            <w:pPr>
              <w:pStyle w:val="mqeng"/>
              <w:jc w:val="left"/>
            </w:pPr>
            <w:r>
              <w:rPr>
                <w:noProof/>
              </w:rPr>
              <w:t>The value of any share expressed in a non-base currency which is unhedged will be subject to exchange rate risk in relation to the Base Currency.</w:t>
            </w:r>
          </w:p>
        </w:tc>
        <w:tc>
          <w:tcPr>
            <w:tcW w:w="360" w:type="dxa"/>
            <w:shd w:val="clear" w:color="auto" w:fill="auto"/>
          </w:tcPr>
          <w:p w:rsidR="00A77B3E">
            <w:pPr>
              <w:pStyle w:val="mqspa"/>
              <w:jc w:val="left"/>
            </w:pPr>
            <w:r>
              <w:rPr>
                <w:noProof w:val="0"/>
              </w:rPr>
              <w:t>El valor de cualquier acción expresado en una divisa que no es la divisa base y que no está cubierta estará sujeto al riesgo de tipos de cambio en relación con la divisa base.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w:t>
              <w:br/>
            </w:r>
            <w:r>
              <w:rPr>
                <w:noProof/>
                <w:sz w:val="2"/>
              </w:rPr>
              <w:t>d3a0c04d-c611-45c1-9d20-a2d7d8378d8e</w:t>
            </w:r>
          </w:p>
        </w:tc>
        <w:tc>
          <w:tcPr>
            <w:tcW w:w="360" w:type="dxa"/>
            <w:shd w:val="clear" w:color="auto" w:fill="F2F2F2"/>
          </w:tcPr>
          <w:p w:rsidR="00A77B3E">
            <w:pPr>
              <w:pStyle w:val="mqeng"/>
              <w:jc w:val="left"/>
            </w:pPr>
            <w:r>
              <w:rPr>
                <w:noProof/>
              </w:rPr>
              <w:t>An up-to-date list of the share classes available for the Funds can be obtained from the website www.janushenderson.com or from the registered office of the Company.</w:t>
            </w:r>
          </w:p>
        </w:tc>
        <w:tc>
          <w:tcPr>
            <w:tcW w:w="360" w:type="dxa"/>
            <w:shd w:val="clear" w:color="auto" w:fill="auto"/>
          </w:tcPr>
          <w:p w:rsidR="00A77B3E">
            <w:pPr>
              <w:pStyle w:val="mqspa"/>
              <w:jc w:val="left"/>
            </w:pPr>
            <w:r>
              <w:rPr>
                <w:noProof w:val="0"/>
              </w:rPr>
              <w:t>Un listado actualizado de las clases de acciones disponibles para los Fondos se puede obtener en el sitio web www.janushenderson.com o en el domicilio social de la Compañía.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w:t>
              <w:br/>
            </w:r>
            <w:r>
              <w:rPr>
                <w:noProof/>
                <w:sz w:val="2"/>
              </w:rPr>
              <w:t>a0cfc584-4e5e-48cd-b774-c4bdbdb00511</w:t>
            </w:r>
          </w:p>
        </w:tc>
        <w:tc>
          <w:tcPr>
            <w:tcW w:w="360" w:type="dxa"/>
            <w:shd w:val="clear" w:color="auto" w:fill="F2F2F2"/>
          </w:tcPr>
          <w:p w:rsidR="00A77B3E">
            <w:pPr>
              <w:pStyle w:val="mqeng"/>
              <w:jc w:val="left"/>
            </w:pPr>
            <w:r>
              <w:rPr>
                <w:b/>
                <w:i w:val="0"/>
                <w:noProof/>
                <w:u w:val="none"/>
                <w:vertAlign w:val="baseline"/>
              </w:rPr>
              <w:t>Hedged Share Classes</w:t>
            </w:r>
          </w:p>
        </w:tc>
        <w:tc>
          <w:tcPr>
            <w:tcW w:w="360" w:type="dxa"/>
            <w:shd w:val="clear" w:color="auto" w:fill="auto"/>
          </w:tcPr>
          <w:p w:rsidR="00A77B3E">
            <w:pPr>
              <w:pStyle w:val="mqspa"/>
              <w:jc w:val="left"/>
            </w:pPr>
            <w:r>
              <w:rPr>
                <w:b/>
                <w:i w:val="0"/>
                <w:noProof w:val="0"/>
                <w:u w:val="none"/>
                <w:vertAlign w:val="baseline"/>
              </w:rPr>
              <w:t>Clases de acciones cubiertas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w:t>
              <w:br/>
            </w:r>
            <w:r>
              <w:rPr>
                <w:noProof/>
                <w:sz w:val="2"/>
              </w:rPr>
              <w:t>c7a1a409-4327-4a00-abc1-620aeaf967d9</w:t>
            </w:r>
          </w:p>
        </w:tc>
        <w:tc>
          <w:tcPr>
            <w:tcW w:w="360" w:type="dxa"/>
            <w:shd w:val="clear" w:color="auto" w:fill="F2F2F2"/>
          </w:tcPr>
          <w:p w:rsidR="00A77B3E">
            <w:pPr>
              <w:pStyle w:val="mqeng"/>
              <w:jc w:val="left"/>
            </w:pPr>
            <w:r>
              <w:rPr>
                <w:noProof/>
              </w:rPr>
              <w:t>The Funds may offer Hedged Share Classes in order to mitigate currency risk between the Base Currency of the Fund and the currency of the Hedged Share Class, with the exception of BRL Hedged Share Classes (see further below).</w:t>
            </w:r>
          </w:p>
        </w:tc>
        <w:tc>
          <w:tcPr>
            <w:tcW w:w="360" w:type="dxa"/>
            <w:shd w:val="clear" w:color="auto" w:fill="auto"/>
          </w:tcPr>
          <w:p w:rsidR="00A77B3E">
            <w:pPr>
              <w:pStyle w:val="mqspa"/>
              <w:jc w:val="left"/>
            </w:pPr>
            <w:r>
              <w:rPr>
                <w:noProof w:val="0"/>
              </w:rPr>
              <w:t>Los Fondos pueden ofrecer Clases de acciones con cobertura para mitigar el riesgo cambiario entre la divisa base del Fondo y la divisa de la Clase de acciones con cobertura, con la excepción de las Clases de acciones cubiertas en BRL (ver más abajo).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w:t>
              <w:br/>
            </w:r>
            <w:r>
              <w:rPr>
                <w:noProof/>
                <w:sz w:val="2"/>
              </w:rPr>
              <w:t>2a98f24a-b606-4ff8-bde8-23a340c421e7</w:t>
            </w:r>
          </w:p>
        </w:tc>
        <w:tc>
          <w:tcPr>
            <w:tcW w:w="360" w:type="dxa"/>
            <w:shd w:val="clear" w:color="auto" w:fill="F2F2F2"/>
          </w:tcPr>
          <w:p w:rsidR="00A77B3E">
            <w:pPr>
              <w:pStyle w:val="mqeng"/>
              <w:jc w:val="left"/>
            </w:pPr>
            <w:r>
              <w:rPr>
                <w:noProof/>
              </w:rPr>
              <w:t>Where a Hedged Share Class is available, it will be expressed with the pre-fix “H” and described, for instance as Class A HEUR, Class A HGBP, Class A HUSD, Class A HBRL, Class A HSGD, Class A HSEK, Class A HAUD, Class A HCHF etcetera.</w:t>
            </w:r>
          </w:p>
        </w:tc>
        <w:tc>
          <w:tcPr>
            <w:tcW w:w="360" w:type="dxa"/>
            <w:shd w:val="clear" w:color="auto" w:fill="auto"/>
          </w:tcPr>
          <w:p w:rsidR="00A77B3E">
            <w:pPr>
              <w:pStyle w:val="mqspa"/>
              <w:jc w:val="left"/>
            </w:pPr>
            <w:r>
              <w:rPr>
                <w:noProof w:val="0"/>
              </w:rPr>
              <w:t>Donde una Clase de acciones con cobertura está disponible, se expresará con el prefijo "H" y se describirá, por ejemplo, como Clase A HEUR, Clase A HGBP, Clase A HUSD, Clase A HBRL, Clase A HSGD, Clase A HSEK, Clase A AUD, Clase A CHF, etcétera.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w:t>
              <w:br/>
            </w:r>
            <w:r>
              <w:rPr>
                <w:noProof/>
                <w:sz w:val="2"/>
              </w:rPr>
              <w:t>e421a1a7-d4ab-4c7a-b2cc-dade125a875a</w:t>
            </w:r>
          </w:p>
        </w:tc>
        <w:tc>
          <w:tcPr>
            <w:tcW w:w="360" w:type="dxa"/>
            <w:shd w:val="clear" w:color="auto" w:fill="F2F2F2"/>
          </w:tcPr>
          <w:p w:rsidR="00A77B3E">
            <w:pPr>
              <w:pStyle w:val="mqeng"/>
              <w:jc w:val="left"/>
            </w:pPr>
            <w:r>
              <w:rPr>
                <w:noProof/>
              </w:rPr>
              <w:t>The Company’s Investment Manager will employ financial instruments, such as foreign exchange forward contracts, as a hedge.</w:t>
            </w:r>
          </w:p>
        </w:tc>
        <w:tc>
          <w:tcPr>
            <w:tcW w:w="360" w:type="dxa"/>
            <w:shd w:val="clear" w:color="auto" w:fill="auto"/>
          </w:tcPr>
          <w:p w:rsidR="00A77B3E">
            <w:pPr>
              <w:pStyle w:val="mqspa"/>
              <w:jc w:val="left"/>
            </w:pPr>
            <w:r>
              <w:rPr>
                <w:noProof w:val="0"/>
              </w:rPr>
              <w:t>El Gestor de inversiones de la Sociedad empleará instrumentos financieros, como contratos de divisas a plazo, como cobertura.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w:t>
              <w:br/>
            </w:r>
            <w:r>
              <w:rPr>
                <w:noProof/>
                <w:sz w:val="2"/>
              </w:rPr>
              <w:t>6ded4244-ad76-496f-85d5-7a2e9d3e039b</w:t>
            </w:r>
          </w:p>
        </w:tc>
        <w:tc>
          <w:tcPr>
            <w:tcW w:w="360" w:type="dxa"/>
            <w:shd w:val="clear" w:color="auto" w:fill="F2F2F2"/>
          </w:tcPr>
          <w:p w:rsidR="00A77B3E">
            <w:pPr>
              <w:pStyle w:val="mqeng"/>
              <w:jc w:val="left"/>
            </w:pPr>
            <w:r>
              <w:rPr>
                <w:noProof/>
              </w:rPr>
              <w:t>The value to be hedged will be made up of both capital and income and the Investment Manager intends to hedge between 95-105% of the value of the Hedged Share Class.</w:t>
            </w:r>
          </w:p>
        </w:tc>
        <w:tc>
          <w:tcPr>
            <w:tcW w:w="360" w:type="dxa"/>
            <w:shd w:val="clear" w:color="auto" w:fill="auto"/>
          </w:tcPr>
          <w:p w:rsidR="00A77B3E">
            <w:pPr>
              <w:pStyle w:val="mqspa"/>
              <w:jc w:val="left"/>
            </w:pPr>
            <w:r>
              <w:rPr>
                <w:noProof w:val="0"/>
              </w:rPr>
              <w:t>El valor que se cubre estará compuesto tanto por capital como por los ingresos, y el Gestor de inversiones tiene la intención de cubrir entre el 95% y el 105% del valor de la Clase de acciones con cobertura.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w:t>
              <w:br/>
            </w:r>
            <w:r>
              <w:rPr>
                <w:noProof/>
                <w:sz w:val="2"/>
              </w:rPr>
              <w:t>5badd4fa-0683-49c9-95d6-4fe3f9acee23</w:t>
            </w:r>
          </w:p>
        </w:tc>
        <w:tc>
          <w:tcPr>
            <w:tcW w:w="360" w:type="dxa"/>
            <w:shd w:val="clear" w:color="auto" w:fill="F2F2F2"/>
          </w:tcPr>
          <w:p w:rsidR="00A77B3E">
            <w:pPr>
              <w:pStyle w:val="mqeng"/>
              <w:jc w:val="left"/>
            </w:pPr>
            <w:r>
              <w:rPr>
                <w:noProof/>
              </w:rPr>
              <w:t>Procedures are in place to monitor hedging positions to ensure that under-hedged positions are at all times within 95% of the portion of the net asset value of the Hedged Share Class which is to be hedged against currency risk and over-hedged positions do not exceed 105% of the net asset value of the Hedged Share Class.</w:t>
            </w:r>
          </w:p>
        </w:tc>
        <w:tc>
          <w:tcPr>
            <w:tcW w:w="360" w:type="dxa"/>
            <w:shd w:val="clear" w:color="auto" w:fill="auto"/>
          </w:tcPr>
          <w:p w:rsidR="00A77B3E">
            <w:pPr>
              <w:pStyle w:val="mqspa"/>
              <w:jc w:val="left"/>
            </w:pPr>
            <w:r>
              <w:rPr>
                <w:noProof w:val="0"/>
              </w:rPr>
              <w:t>Se han implementado procedimientos para monitorear las posiciones de cobertura y asegurar que las posiciones cubiertas se mantengan en todo momento dentro del 95% de la parte del valor liquidativo de la Clase de acciones cubierta que debe ser cubierta contra el riesgo cambiario, y que las posiciones con cobertura de divisas no excedan el 105% del valor liquidativo de la Clase de acciones cubierta.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w:t>
              <w:br/>
            </w:r>
            <w:r>
              <w:rPr>
                <w:noProof/>
                <w:sz w:val="2"/>
              </w:rPr>
              <w:t>5af45045-a069-47c7-8e78-acb5c43bf7bc</w:t>
            </w:r>
          </w:p>
        </w:tc>
        <w:tc>
          <w:tcPr>
            <w:tcW w:w="360" w:type="dxa"/>
            <w:shd w:val="clear" w:color="auto" w:fill="F2F2F2"/>
          </w:tcPr>
          <w:p w:rsidR="00A77B3E">
            <w:pPr>
              <w:pStyle w:val="mqeng"/>
              <w:jc w:val="left"/>
            </w:pPr>
            <w:r>
              <w:rPr>
                <w:noProof/>
              </w:rPr>
              <w:t>Adjustments to any hedge to keep within this target range will only be made when the required adjustment is material.</w:t>
            </w:r>
          </w:p>
        </w:tc>
        <w:tc>
          <w:tcPr>
            <w:tcW w:w="360" w:type="dxa"/>
            <w:shd w:val="clear" w:color="auto" w:fill="auto"/>
          </w:tcPr>
          <w:p w:rsidR="00A77B3E">
            <w:pPr>
              <w:pStyle w:val="mqspa"/>
              <w:jc w:val="left"/>
            </w:pPr>
            <w:r>
              <w:rPr>
                <w:noProof w:val="0"/>
              </w:rPr>
              <w:t>Los ajustes a cualquier cobertura para mantenerse dentro de este rango solo se realizarán cuando el ajuste necesario sea material.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w:t>
              <w:br/>
            </w:r>
            <w:r>
              <w:rPr>
                <w:noProof/>
                <w:sz w:val="2"/>
              </w:rPr>
              <w:t>1b3454ed-4f70-495f-a85b-f422986eb8e9</w:t>
            </w:r>
          </w:p>
        </w:tc>
        <w:tc>
          <w:tcPr>
            <w:tcW w:w="360" w:type="dxa"/>
            <w:shd w:val="clear" w:color="auto" w:fill="F2F2F2"/>
          </w:tcPr>
          <w:p w:rsidR="00A77B3E">
            <w:pPr>
              <w:pStyle w:val="mqeng"/>
              <w:jc w:val="left"/>
            </w:pPr>
            <w:r>
              <w:rPr>
                <w:noProof/>
              </w:rPr>
              <w:t>As such the Hedged Share Classes will not be completely protected from all currency fluctuations.</w:t>
            </w:r>
          </w:p>
        </w:tc>
        <w:tc>
          <w:tcPr>
            <w:tcW w:w="360" w:type="dxa"/>
            <w:shd w:val="clear" w:color="auto" w:fill="auto"/>
          </w:tcPr>
          <w:p w:rsidR="00A77B3E">
            <w:pPr>
              <w:pStyle w:val="mqspa"/>
              <w:jc w:val="left"/>
            </w:pPr>
            <w:r>
              <w:rPr>
                <w:noProof w:val="0"/>
              </w:rPr>
              <w:t>Como tal, las Clases de acciones cubiertas no estarán completamente protegidas de todas las fluctuaciones de divisas.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w:t>
              <w:br/>
            </w:r>
            <w:r>
              <w:rPr>
                <w:noProof/>
                <w:sz w:val="2"/>
              </w:rPr>
              <w:t>a03ae391-c351-474c-9e49-afb1a639fead</w:t>
            </w:r>
          </w:p>
        </w:tc>
        <w:tc>
          <w:tcPr>
            <w:tcW w:w="360" w:type="dxa"/>
            <w:shd w:val="clear" w:color="auto" w:fill="F2F2F2"/>
          </w:tcPr>
          <w:p w:rsidR="00A77B3E">
            <w:pPr>
              <w:pStyle w:val="mqeng"/>
              <w:jc w:val="left"/>
            </w:pPr>
            <w:r>
              <w:rPr>
                <w:noProof/>
              </w:rPr>
              <w:t>In such circumstances, Shareholders of that class may be exposed to fluctuations in the net asset value per Share reflecting the gains/losses on and the costs of the relevant financial instruments and this strategy may substantially limit holders of the class from benefiting if the Hedged Share Class currency falls against the Base Currency of the Fund and/or the currency in which the assets of the relevant Fund are denominated.</w:t>
            </w:r>
          </w:p>
        </w:tc>
        <w:tc>
          <w:tcPr>
            <w:tcW w:w="360" w:type="dxa"/>
            <w:shd w:val="clear" w:color="auto" w:fill="auto"/>
          </w:tcPr>
          <w:p w:rsidR="00A77B3E">
            <w:pPr>
              <w:pStyle w:val="mqspa"/>
              <w:jc w:val="left"/>
            </w:pPr>
            <w:r>
              <w:rPr>
                <w:noProof w:val="0"/>
              </w:rPr>
              <w:t>En tales circunstancias, los Accionistas de esa clase pueden estar expuestos a fluctuaciones en el valor liquidativo por Acción que reflejan las ganancias/pérdidas y los costes de los instrumentos financieros correspondientes, y esta estrategia puede limitar sustancialmente a los titulares de la clase para beneficiarse si la divisa de la Clase de Acción Cubierta cae frente a la divisa base del Fondo y/o la divisa en la que están denominados los activos del Fondo correspondiente.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53</w:t>
              <w:br/>
            </w:r>
            <w:r>
              <w:rPr>
                <w:noProof/>
                <w:sz w:val="2"/>
              </w:rPr>
              <w:t>89b79fb5-65db-4ea8-bbb4-625ac0432024</w:t>
            </w:r>
          </w:p>
        </w:tc>
        <w:tc>
          <w:tcPr>
            <w:tcW w:w="360" w:type="dxa"/>
            <w:shd w:val="clear" w:color="auto" w:fill="F2F2F2"/>
          </w:tcPr>
          <w:p w:rsidR="00A77B3E">
            <w:pPr>
              <w:pStyle w:val="mqeng"/>
              <w:jc w:val="left"/>
            </w:pPr>
            <w:r>
              <w:rPr>
                <w:noProof/>
              </w:rPr>
              <w:t>BRL Hedged Share Classes are only available at the Directors’ discretion.</w:t>
            </w:r>
          </w:p>
        </w:tc>
        <w:tc>
          <w:tcPr>
            <w:tcW w:w="360" w:type="dxa"/>
            <w:shd w:val="clear" w:color="auto" w:fill="auto"/>
          </w:tcPr>
          <w:p w:rsidR="00A77B3E">
            <w:pPr>
              <w:pStyle w:val="mqspa"/>
              <w:jc w:val="left"/>
            </w:pPr>
            <w:r>
              <w:rPr>
                <w:noProof w:val="0"/>
              </w:rPr>
              <w:t>Las Clases de acciones cubiertas en BRL solo están disponibles a criterio de los Consejeros.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54</w:t>
              <w:br/>
            </w:r>
            <w:r>
              <w:rPr>
                <w:noProof/>
                <w:sz w:val="2"/>
              </w:rPr>
              <w:t>dc3b9736-8577-4cd1-af63-0c60deeea2eb</w:t>
            </w:r>
          </w:p>
        </w:tc>
        <w:tc>
          <w:tcPr>
            <w:tcW w:w="360" w:type="dxa"/>
            <w:shd w:val="clear" w:color="auto" w:fill="F2F2F2"/>
          </w:tcPr>
          <w:p w:rsidR="00A77B3E">
            <w:pPr>
              <w:pStyle w:val="mqeng"/>
              <w:jc w:val="left"/>
            </w:pPr>
            <w:r>
              <w:rPr>
                <w:noProof/>
              </w:rPr>
              <w:t>BRL Hedged Share Classes aim to provide investors with currency exposure to BRL without using a Hedged Share Class denominated in BRL (i.e. due to currency trading restrictions on BRL).</w:t>
            </w:r>
          </w:p>
        </w:tc>
        <w:tc>
          <w:tcPr>
            <w:tcW w:w="360" w:type="dxa"/>
            <w:shd w:val="clear" w:color="auto" w:fill="auto"/>
          </w:tcPr>
          <w:p w:rsidR="00A77B3E">
            <w:pPr>
              <w:pStyle w:val="mqspa"/>
              <w:jc w:val="left"/>
            </w:pPr>
            <w:r>
              <w:rPr>
                <w:noProof w:val="0"/>
              </w:rPr>
              <w:t>Las Clases de acciones cubiertas en BRL tienen como objetivo proporcionar a los inversores exposición a divisas en BRL sin utilizar una Clase de acciones cubierta denominada en BRL (es decir, debido a las restricciones de comercio de divisas sobre el BRL).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55</w:t>
              <w:br/>
            </w:r>
            <w:r>
              <w:rPr>
                <w:noProof/>
                <w:sz w:val="2"/>
              </w:rPr>
              <w:t>48aa0676-6ebb-4547-9cbb-2233694ba26a</w:t>
            </w:r>
          </w:p>
        </w:tc>
        <w:tc>
          <w:tcPr>
            <w:tcW w:w="360" w:type="dxa"/>
            <w:shd w:val="clear" w:color="auto" w:fill="F2F2F2"/>
          </w:tcPr>
          <w:p w:rsidR="00A77B3E">
            <w:pPr>
              <w:pStyle w:val="mqeng"/>
              <w:jc w:val="left"/>
            </w:pPr>
            <w:r>
              <w:rPr>
                <w:noProof/>
              </w:rPr>
              <w:t>The currency of a BRL Hedged Share Class will be in the base currency of the relevant Fund.</w:t>
            </w:r>
          </w:p>
        </w:tc>
        <w:tc>
          <w:tcPr>
            <w:tcW w:w="360" w:type="dxa"/>
            <w:shd w:val="clear" w:color="auto" w:fill="auto"/>
          </w:tcPr>
          <w:p w:rsidR="00A77B3E">
            <w:pPr>
              <w:pStyle w:val="mqspa"/>
              <w:jc w:val="left"/>
            </w:pPr>
            <w:r>
              <w:rPr>
                <w:noProof w:val="0"/>
              </w:rPr>
              <w:t>La divisa de una Clase de acciones cubierta BRL estará en la divisa base del Fondo correspondiente.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56</w:t>
              <w:br/>
            </w:r>
            <w:r>
              <w:rPr>
                <w:noProof/>
                <w:sz w:val="2"/>
              </w:rPr>
              <w:t>7c56b8ca-6211-43a8-b430-df4d84d72656</w:t>
            </w:r>
          </w:p>
        </w:tc>
        <w:tc>
          <w:tcPr>
            <w:tcW w:w="360" w:type="dxa"/>
            <w:shd w:val="clear" w:color="auto" w:fill="F2F2F2"/>
          </w:tcPr>
          <w:p w:rsidR="00A77B3E">
            <w:pPr>
              <w:pStyle w:val="mqeng"/>
              <w:jc w:val="left"/>
            </w:pPr>
            <w:r>
              <w:rPr>
                <w:noProof/>
              </w:rPr>
              <w:t>BRL currency exposure will be sought by converting the assets of the BRL Hedged Share Class from the relevant Fund’s Base Currency value into BRL using financial derivative instruments (including non-deliverable currency forwards).</w:t>
            </w:r>
          </w:p>
        </w:tc>
        <w:tc>
          <w:tcPr>
            <w:tcW w:w="360" w:type="dxa"/>
            <w:shd w:val="clear" w:color="auto" w:fill="auto"/>
          </w:tcPr>
          <w:p w:rsidR="00A77B3E">
            <w:pPr>
              <w:pStyle w:val="mqspa"/>
              <w:jc w:val="left"/>
            </w:pPr>
            <w:r>
              <w:rPr>
                <w:noProof w:val="0"/>
              </w:rPr>
              <w:t>La exposición a la divisa BRL se buscará convirtiendo los activos de la Clase de acciones cubierta BRL del valor en divisa base del Fondo correspondiente a BRL utilizando instrumentos financieros derivados (incluidos los forwards de divisas no entregables).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57</w:t>
              <w:br/>
            </w:r>
            <w:r>
              <w:rPr>
                <w:noProof/>
                <w:sz w:val="2"/>
              </w:rPr>
              <w:t>674c74f4-92b4-474d-95cd-31374ede6d7f</w:t>
            </w:r>
          </w:p>
        </w:tc>
        <w:tc>
          <w:tcPr>
            <w:tcW w:w="360" w:type="dxa"/>
            <w:shd w:val="clear" w:color="auto" w:fill="F2F2F2"/>
          </w:tcPr>
          <w:p w:rsidR="00A77B3E">
            <w:pPr>
              <w:pStyle w:val="mqeng"/>
              <w:jc w:val="left"/>
            </w:pPr>
            <w:r>
              <w:rPr>
                <w:noProof/>
              </w:rPr>
              <w:t>The net asset value of such BRL Hedged Share Classes will remain denominated in the Base Currency of the relevant Fund (and the net asset value per Share will be calculated in such Base Currency).</w:t>
            </w:r>
          </w:p>
        </w:tc>
        <w:tc>
          <w:tcPr>
            <w:tcW w:w="360" w:type="dxa"/>
            <w:shd w:val="clear" w:color="auto" w:fill="auto"/>
          </w:tcPr>
          <w:p w:rsidR="00A77B3E">
            <w:pPr>
              <w:pStyle w:val="mqspa"/>
              <w:jc w:val="left"/>
            </w:pPr>
            <w:r>
              <w:rPr>
                <w:noProof w:val="0"/>
              </w:rPr>
              <w:t>El valor liquidativo de dichas Clases de acciones con cobertura en BRL permanecerá denominado en la divisa base del Fondo correspondiente (y el valor liquidativo por Acción se calculará en dicha divisa base).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58</w:t>
              <w:br/>
            </w:r>
            <w:r>
              <w:rPr>
                <w:noProof/>
                <w:sz w:val="2"/>
              </w:rPr>
              <w:t>54ca8f1e-4312-4f55-a467-242226edb6c2</w:t>
            </w:r>
          </w:p>
        </w:tc>
        <w:tc>
          <w:tcPr>
            <w:tcW w:w="360" w:type="dxa"/>
            <w:shd w:val="clear" w:color="auto" w:fill="F2F2F2"/>
          </w:tcPr>
          <w:p w:rsidR="00A77B3E">
            <w:pPr>
              <w:pStyle w:val="mqeng"/>
              <w:jc w:val="left"/>
            </w:pPr>
            <w:r>
              <w:rPr>
                <w:noProof/>
              </w:rPr>
              <w:t>However, due to the additional financial derivative instrument exposure, such net asset value is expected to fluctuate in line with the fluctuation of the exchange rate between BRL and such Base Currency.</w:t>
            </w:r>
          </w:p>
        </w:tc>
        <w:tc>
          <w:tcPr>
            <w:tcW w:w="360" w:type="dxa"/>
            <w:shd w:val="clear" w:color="auto" w:fill="auto"/>
          </w:tcPr>
          <w:p w:rsidR="00A77B3E">
            <w:pPr>
              <w:pStyle w:val="mqspa"/>
              <w:jc w:val="left"/>
            </w:pPr>
            <w:r>
              <w:rPr>
                <w:noProof w:val="0"/>
              </w:rPr>
              <w:t>Sin embargo, debido a la exposición a instrumentos financieros derivados adicional, se espera que dicho valor liquidativo fluctúe en línea con la fluctuación del tipo de cambio entre el BRL y dicha divisa base.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59</w:t>
              <w:br/>
            </w:r>
            <w:r>
              <w:rPr>
                <w:noProof/>
                <w:sz w:val="2"/>
              </w:rPr>
              <w:t>bdbb6c2f-da68-4452-86b4-759ec733235d</w:t>
            </w:r>
          </w:p>
        </w:tc>
        <w:tc>
          <w:tcPr>
            <w:tcW w:w="360" w:type="dxa"/>
            <w:shd w:val="clear" w:color="auto" w:fill="F2F2F2"/>
          </w:tcPr>
          <w:p w:rsidR="00A77B3E">
            <w:pPr>
              <w:pStyle w:val="mqeng"/>
              <w:jc w:val="left"/>
            </w:pPr>
            <w:r>
              <w:rPr>
                <w:noProof/>
              </w:rPr>
              <w:t>This fluctuation will be reflected in the performance of the relevant BRL Hedged Share Class, and therefore the performance of such BRL Hedged Share Class may differ significantly from the performance of the other Share Classes of the same Fund.</w:t>
            </w:r>
          </w:p>
        </w:tc>
        <w:tc>
          <w:tcPr>
            <w:tcW w:w="360" w:type="dxa"/>
            <w:shd w:val="clear" w:color="auto" w:fill="auto"/>
          </w:tcPr>
          <w:p w:rsidR="00A77B3E">
            <w:pPr>
              <w:pStyle w:val="mqspa"/>
              <w:jc w:val="left"/>
            </w:pPr>
            <w:r>
              <w:rPr>
                <w:noProof w:val="0"/>
              </w:rPr>
              <w:t>Esta fluctuación se reflejará en el desempeño de la Clase de acciones cubierta BRL correspondiente, y por lo tanto, el desempeño de dicha Clase de acciones cubierta BRL puede diferir significativamente del desempeño de las otras Clases de acciones del mismo Fondo.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60</w:t>
              <w:br/>
            </w:r>
            <w:r>
              <w:rPr>
                <w:noProof/>
                <w:sz w:val="2"/>
              </w:rPr>
              <w:t>f0e41f75-a9f5-4a81-ab49-6e8ce8baaac2</w:t>
            </w:r>
          </w:p>
        </w:tc>
        <w:tc>
          <w:tcPr>
            <w:tcW w:w="360" w:type="dxa"/>
            <w:shd w:val="clear" w:color="auto" w:fill="F2F2F2"/>
          </w:tcPr>
          <w:p w:rsidR="00A77B3E">
            <w:pPr>
              <w:pStyle w:val="mqeng"/>
              <w:jc w:val="left"/>
            </w:pPr>
            <w:r>
              <w:rPr>
                <w:noProof/>
              </w:rPr>
              <w:t>Gains/losses, costs and expenses resulting from this BRL Hedged Share Class hedging strategy will normally be borne by investors of this BRL Hedged Share Class and will be reflected in the net asset value of the relevant BRL Hedged Share Class.</w:t>
            </w:r>
          </w:p>
        </w:tc>
        <w:tc>
          <w:tcPr>
            <w:tcW w:w="360" w:type="dxa"/>
            <w:shd w:val="clear" w:color="auto" w:fill="auto"/>
          </w:tcPr>
          <w:p w:rsidR="00A77B3E">
            <w:pPr>
              <w:pStyle w:val="mqspa"/>
              <w:jc w:val="left"/>
            </w:pPr>
            <w:r>
              <w:rPr>
                <w:noProof w:val="0"/>
              </w:rPr>
              <w:t>Las ganancias/pérdidas, los costes y gastos resultantes de esta estrategia de cobertura de la Clase de acciones cubierta BRL normalmente serán asumidos por los inversores de esta Clase de acciones cubierta BRL y se reflejarán en el valor liquidativo de la Clase de acciones cubierta BRL correspondiente.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61</w:t>
              <w:br/>
            </w:r>
            <w:r>
              <w:rPr>
                <w:noProof/>
                <w:sz w:val="2"/>
              </w:rPr>
              <w:t>9f5753ab-8e1c-4045-a34a-df9ad4cd82dc</w:t>
            </w:r>
          </w:p>
        </w:tc>
        <w:tc>
          <w:tcPr>
            <w:tcW w:w="360" w:type="dxa"/>
            <w:shd w:val="clear" w:color="auto" w:fill="F2F2F2"/>
          </w:tcPr>
          <w:p w:rsidR="00A77B3E">
            <w:pPr>
              <w:pStyle w:val="mqeng"/>
              <w:jc w:val="left"/>
            </w:pPr>
            <w:r>
              <w:rPr>
                <w:noProof/>
              </w:rPr>
              <w:t>The costs and expenses incurred in connection with any currency hedging transactions related to Share Class hedging will normally be borne solely by such Hedged Share Classes and may be aggregated by such Hedge Share Classes denominated in the same currency in the same Fund.</w:t>
            </w:r>
          </w:p>
        </w:tc>
        <w:tc>
          <w:tcPr>
            <w:tcW w:w="360" w:type="dxa"/>
            <w:shd w:val="clear" w:color="auto" w:fill="auto"/>
          </w:tcPr>
          <w:p w:rsidR="00A77B3E">
            <w:pPr>
              <w:pStyle w:val="mqspa"/>
              <w:jc w:val="left"/>
            </w:pPr>
            <w:r>
              <w:rPr>
                <w:noProof w:val="0"/>
              </w:rPr>
              <w:t>Los costes y gastos incurridos en relación con cualquier transacción de cobertura de divisas relacionada con la cobertura de divisas de la Clase de acciones normalmente serán asumidos únicamente por dichas Clases de acciones con cobertura y pueden ser agregados por dichas Clases de acciones con cobertura denominadas en las mismas divisas en el mismo Fondo.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62</w:t>
              <w:br/>
            </w:r>
            <w:r>
              <w:rPr>
                <w:noProof/>
                <w:sz w:val="2"/>
              </w:rPr>
              <w:t>1f54b607-9eda-4824-a329-3cde148d156f</w:t>
            </w:r>
          </w:p>
        </w:tc>
        <w:tc>
          <w:tcPr>
            <w:tcW w:w="360" w:type="dxa"/>
            <w:shd w:val="clear" w:color="auto" w:fill="F2F2F2"/>
          </w:tcPr>
          <w:p w:rsidR="00A77B3E">
            <w:pPr>
              <w:pStyle w:val="mqeng"/>
              <w:jc w:val="left"/>
            </w:pPr>
            <w:r>
              <w:rPr>
                <w:noProof/>
              </w:rPr>
              <w:t>Given that there is no segregation of liabilities between Share Classes, there is a risk that, under certain circumstances, currency hedging transactions in relation to a Hedged Share Class could result in liabilities which might affect the net asset value of the other Share Classes of the same Fund.</w:t>
            </w:r>
          </w:p>
        </w:tc>
        <w:tc>
          <w:tcPr>
            <w:tcW w:w="360" w:type="dxa"/>
            <w:shd w:val="clear" w:color="auto" w:fill="auto"/>
          </w:tcPr>
          <w:p w:rsidR="00A77B3E">
            <w:pPr>
              <w:pStyle w:val="mqspa"/>
              <w:jc w:val="left"/>
            </w:pPr>
            <w:r>
              <w:rPr>
                <w:noProof w:val="0"/>
              </w:rPr>
              <w:t>Dado que no existe segregación de pasivos entre las Clases de acciones, existe el riesgo de que, en determinadas circunstancias, las transacciones de cobertura de divisas relacionadas con una Clase de acciones con cobertura podrían dar lugar a pasivos que podrían afectar al valor liquidativo de las otras Clases de acciones del mismo Fondo.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63</w:t>
              <w:br/>
            </w:r>
            <w:r>
              <w:rPr>
                <w:noProof/>
                <w:sz w:val="2"/>
              </w:rPr>
              <w:t>a310359b-1113-49bd-a331-61cc28b91f0b</w:t>
            </w:r>
          </w:p>
        </w:tc>
        <w:tc>
          <w:tcPr>
            <w:tcW w:w="360" w:type="dxa"/>
            <w:shd w:val="clear" w:color="auto" w:fill="F2F2F2"/>
          </w:tcPr>
          <w:p w:rsidR="00A77B3E">
            <w:pPr>
              <w:pStyle w:val="mqeng"/>
              <w:jc w:val="left"/>
            </w:pPr>
            <w:r>
              <w:rPr>
                <w:noProof/>
              </w:rPr>
              <w:t>Please refer to the risks under ‘Funds offering Hedged Share Classes’ set out in the section ‘Investment and Risk Considerations’ of this Prospectus.</w:t>
            </w:r>
          </w:p>
        </w:tc>
        <w:tc>
          <w:tcPr>
            <w:tcW w:w="360" w:type="dxa"/>
            <w:shd w:val="clear" w:color="auto" w:fill="auto"/>
          </w:tcPr>
          <w:p w:rsidR="00A77B3E">
            <w:pPr>
              <w:pStyle w:val="mqspa"/>
              <w:jc w:val="left"/>
            </w:pPr>
            <w:r>
              <w:rPr>
                <w:noProof w:val="0"/>
              </w:rPr>
              <w:t>Por favor, consulte los riesgos bajo «Clases de acciones con cobertura» establecidos en la sección «Consideraciones sobre inversión y riesgo» del presente Folleto informativo.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64</w:t>
              <w:br/>
            </w:r>
            <w:r>
              <w:rPr>
                <w:noProof/>
                <w:sz w:val="2"/>
              </w:rPr>
              <w:t>446861a8-5214-45e2-b6fa-628757f9b63a</w:t>
            </w:r>
          </w:p>
        </w:tc>
        <w:tc>
          <w:tcPr>
            <w:tcW w:w="360" w:type="dxa"/>
            <w:shd w:val="clear" w:color="auto" w:fill="F2F2F2"/>
          </w:tcPr>
          <w:p w:rsidR="00A77B3E">
            <w:pPr>
              <w:pStyle w:val="mqeng"/>
              <w:jc w:val="left"/>
            </w:pPr>
            <w:r>
              <w:rPr>
                <w:b/>
                <w:i w:val="0"/>
                <w:noProof/>
                <w:u w:val="none"/>
                <w:vertAlign w:val="baseline"/>
              </w:rPr>
              <w:t>How may an investor buy Shares?</w:t>
            </w:r>
          </w:p>
        </w:tc>
        <w:tc>
          <w:tcPr>
            <w:tcW w:w="360" w:type="dxa"/>
            <w:shd w:val="clear" w:color="auto" w:fill="auto"/>
          </w:tcPr>
          <w:p w:rsidR="00A77B3E">
            <w:pPr>
              <w:pStyle w:val="mqspa"/>
              <w:jc w:val="left"/>
            </w:pPr>
            <w:r>
              <w:rPr>
                <w:b/>
                <w:i w:val="0"/>
                <w:noProof w:val="0"/>
                <w:u w:val="none"/>
                <w:vertAlign w:val="baseline"/>
              </w:rPr>
              <w:t>¿Cómo puede un inversor comprar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65</w:t>
              <w:br/>
            </w:r>
            <w:r>
              <w:rPr>
                <w:noProof/>
                <w:sz w:val="2"/>
              </w:rPr>
              <w:t>45e6ef15-0f3e-4d45-900a-a30fd0f5123e</w:t>
            </w:r>
          </w:p>
        </w:tc>
        <w:tc>
          <w:tcPr>
            <w:tcW w:w="360" w:type="dxa"/>
            <w:shd w:val="clear" w:color="auto" w:fill="F2F2F2"/>
          </w:tcPr>
          <w:p w:rsidR="00A77B3E">
            <w:pPr>
              <w:pStyle w:val="mqeng"/>
              <w:jc w:val="left"/>
            </w:pPr>
            <w:r>
              <w:rPr>
                <w:noProof/>
              </w:rPr>
              <w:t>Initial purchases of Shares must be made by completing an Application Form.</w:t>
            </w:r>
          </w:p>
        </w:tc>
        <w:tc>
          <w:tcPr>
            <w:tcW w:w="360" w:type="dxa"/>
            <w:shd w:val="clear" w:color="auto" w:fill="auto"/>
          </w:tcPr>
          <w:p w:rsidR="00A77B3E">
            <w:pPr>
              <w:pStyle w:val="mqspa"/>
              <w:jc w:val="left"/>
            </w:pPr>
            <w:r>
              <w:rPr>
                <w:noProof w:val="0"/>
              </w:rPr>
              <w:t>Las compras iniciales de Acciones deben realizarse completando un Formulario de solicitud.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66</w:t>
              <w:br/>
            </w:r>
            <w:r>
              <w:rPr>
                <w:noProof/>
                <w:sz w:val="2"/>
              </w:rPr>
              <w:t>6391c122-e410-4eaa-a7da-292abdd4ccc3</w:t>
            </w:r>
          </w:p>
        </w:tc>
        <w:tc>
          <w:tcPr>
            <w:tcW w:w="360" w:type="dxa"/>
            <w:shd w:val="clear" w:color="auto" w:fill="F2F2F2"/>
          </w:tcPr>
          <w:p w:rsidR="00A77B3E">
            <w:pPr>
              <w:pStyle w:val="mqeng"/>
              <w:jc w:val="left"/>
            </w:pPr>
            <w:r>
              <w:rPr>
                <w:noProof/>
              </w:rPr>
              <w:t>Investors will be required to indicate how they will obtain the KID prior to submitting every investment application.</w:t>
            </w:r>
          </w:p>
        </w:tc>
        <w:tc>
          <w:tcPr>
            <w:tcW w:w="360" w:type="dxa"/>
            <w:shd w:val="clear" w:color="auto" w:fill="auto"/>
          </w:tcPr>
          <w:p w:rsidR="00A77B3E">
            <w:pPr>
              <w:pStyle w:val="mqspa"/>
              <w:jc w:val="left"/>
            </w:pPr>
            <w:r>
              <w:rPr>
                <w:noProof w:val="0"/>
              </w:rPr>
              <w:t>Los inversores deberán indicar cómo obtendrán el Documento de datos fundamentales antes de presentar cada solicitud de inversión.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67</w:t>
              <w:br/>
            </w:r>
            <w:r>
              <w:rPr>
                <w:noProof/>
                <w:sz w:val="2"/>
              </w:rPr>
              <w:t>bde25a49-d6b4-408b-b06d-caa8a4828749</w:t>
            </w:r>
          </w:p>
        </w:tc>
        <w:tc>
          <w:tcPr>
            <w:tcW w:w="360" w:type="dxa"/>
            <w:shd w:val="clear" w:color="auto" w:fill="F2F2F2"/>
          </w:tcPr>
          <w:p w:rsidR="00A77B3E">
            <w:pPr>
              <w:pStyle w:val="mqeng"/>
              <w:jc w:val="left"/>
            </w:pPr>
            <w:r>
              <w:rPr>
                <w:noProof/>
              </w:rPr>
              <w:t>A KID is available for each Share Class.</w:t>
            </w:r>
          </w:p>
        </w:tc>
        <w:tc>
          <w:tcPr>
            <w:tcW w:w="360" w:type="dxa"/>
            <w:shd w:val="clear" w:color="auto" w:fill="auto"/>
          </w:tcPr>
          <w:p w:rsidR="00A77B3E">
            <w:pPr>
              <w:pStyle w:val="mqspa"/>
              <w:jc w:val="left"/>
            </w:pPr>
            <w:r>
              <w:rPr>
                <w:noProof w:val="0"/>
              </w:rPr>
              <w:t>Se dispone de un KID para cada clase de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68</w:t>
              <w:br/>
            </w:r>
            <w:r>
              <w:rPr>
                <w:noProof/>
                <w:sz w:val="2"/>
              </w:rPr>
              <w:t>6baa4f91-8b93-4147-8c26-86f273df9ffa</w:t>
            </w:r>
          </w:p>
        </w:tc>
        <w:tc>
          <w:tcPr>
            <w:tcW w:w="360" w:type="dxa"/>
            <w:shd w:val="clear" w:color="auto" w:fill="F2F2F2"/>
          </w:tcPr>
          <w:p w:rsidR="00A77B3E">
            <w:pPr>
              <w:pStyle w:val="mqeng"/>
              <w:jc w:val="left"/>
            </w:pPr>
            <w:r>
              <w:rPr>
                <w:noProof/>
              </w:rPr>
              <w:t>The KID and Prospectus can be obtained from the website www.janushenderson.com or from the Registrar and Transfer Agent.</w:t>
            </w:r>
          </w:p>
        </w:tc>
        <w:tc>
          <w:tcPr>
            <w:tcW w:w="360" w:type="dxa"/>
            <w:shd w:val="clear" w:color="auto" w:fill="auto"/>
          </w:tcPr>
          <w:p w:rsidR="00A77B3E">
            <w:pPr>
              <w:pStyle w:val="mqspa"/>
              <w:jc w:val="left"/>
            </w:pPr>
            <w:r>
              <w:rPr>
                <w:noProof w:val="0"/>
              </w:rPr>
              <w:t>El Documento de datos fundamentales y el Folleto se pueden obtener en el sitio web www.janushenderson.com o del Agente de registro y transferencias.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69</w:t>
              <w:br/>
            </w:r>
            <w:r>
              <w:rPr>
                <w:noProof/>
                <w:sz w:val="2"/>
              </w:rPr>
              <w:t>6d314a37-142a-4b79-9de8-f186e9a9d408</w:t>
            </w:r>
          </w:p>
        </w:tc>
        <w:tc>
          <w:tcPr>
            <w:tcW w:w="360" w:type="dxa"/>
            <w:shd w:val="clear" w:color="auto" w:fill="F2F2F2"/>
          </w:tcPr>
          <w:p w:rsidR="00A77B3E">
            <w:pPr>
              <w:pStyle w:val="mqeng"/>
              <w:jc w:val="left"/>
            </w:pPr>
            <w:r>
              <w:rPr>
                <w:noProof/>
              </w:rPr>
              <w:t>The Company will not be able to accept any instruction from the investor unless they have signed and returned the declaration.</w:t>
            </w:r>
          </w:p>
        </w:tc>
        <w:tc>
          <w:tcPr>
            <w:tcW w:w="360" w:type="dxa"/>
            <w:shd w:val="clear" w:color="auto" w:fill="auto"/>
          </w:tcPr>
          <w:p w:rsidR="00A77B3E">
            <w:pPr>
              <w:pStyle w:val="mqspa"/>
              <w:jc w:val="left"/>
            </w:pPr>
            <w:r>
              <w:rPr>
                <w:noProof w:val="0"/>
              </w:rPr>
              <w:t>La Compañía no podrá aceptar ninguna instrucción del inversor a menos que haya firmado y devuelto la declaración.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70</w:t>
              <w:br/>
            </w:r>
            <w:r>
              <w:rPr>
                <w:noProof/>
                <w:sz w:val="2"/>
              </w:rPr>
              <w:t>f44f4f2d-e632-4c05-b32e-9ca11ab3f22a</w:t>
            </w:r>
          </w:p>
        </w:tc>
        <w:tc>
          <w:tcPr>
            <w:tcW w:w="360" w:type="dxa"/>
            <w:shd w:val="clear" w:color="auto" w:fill="F2F2F2"/>
          </w:tcPr>
          <w:p w:rsidR="00A77B3E">
            <w:pPr>
              <w:pStyle w:val="mqeng"/>
              <w:jc w:val="left"/>
            </w:pPr>
            <w:r>
              <w:rPr>
                <w:noProof/>
              </w:rPr>
              <w:t>This should be sent by post or facsimile or through other electronic means of communication (subject to the acceptance by the Shareholder of any electronic delivery terms imposed by the Fund and/or the Registrar and Transfer Agent) to the appropriate Distributor or to the Registrar and Transfer Agent.</w:t>
            </w:r>
          </w:p>
        </w:tc>
        <w:tc>
          <w:tcPr>
            <w:tcW w:w="360" w:type="dxa"/>
            <w:shd w:val="clear" w:color="auto" w:fill="auto"/>
          </w:tcPr>
          <w:p w:rsidR="00A77B3E">
            <w:pPr>
              <w:pStyle w:val="mqspa"/>
              <w:jc w:val="left"/>
            </w:pPr>
            <w:r>
              <w:rPr>
                <w:noProof w:val="0"/>
              </w:rPr>
              <w:t>Esto debe ser enviado por correo o fax o a través de otros medios de comunicación (sujeto a la aceptación por parte del Accionista de los términos de entrega electrónica impuestos por el Fondo y/o el Agente de Registro y Transferencias) al Distribuidor correspondiente o al Agente de Registro y Transferencias.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71</w:t>
              <w:br/>
            </w:r>
            <w:r>
              <w:rPr>
                <w:noProof/>
                <w:sz w:val="2"/>
              </w:rPr>
              <w:t>35908646-ad80-4f5d-a393-8ddc80cdd9d3</w:t>
            </w:r>
          </w:p>
        </w:tc>
        <w:tc>
          <w:tcPr>
            <w:tcW w:w="360" w:type="dxa"/>
            <w:shd w:val="clear" w:color="auto" w:fill="F2F2F2"/>
          </w:tcPr>
          <w:p w:rsidR="00A77B3E">
            <w:pPr>
              <w:pStyle w:val="mqeng"/>
              <w:jc w:val="left"/>
            </w:pPr>
            <w:r>
              <w:rPr>
                <w:noProof/>
              </w:rPr>
              <w:t>In the case of faxed orders for initial purchases, these should be followed with the original form by post.</w:t>
            </w:r>
          </w:p>
        </w:tc>
        <w:tc>
          <w:tcPr>
            <w:tcW w:w="360" w:type="dxa"/>
            <w:shd w:val="clear" w:color="auto" w:fill="auto"/>
          </w:tcPr>
          <w:p w:rsidR="00A77B3E">
            <w:pPr>
              <w:pStyle w:val="mqspa"/>
              <w:jc w:val="left"/>
            </w:pPr>
            <w:r>
              <w:rPr>
                <w:noProof w:val="0"/>
              </w:rPr>
              <w:t>En el caso de órdenes enviadas por fax para compras iniciales, estas deben ser seguidas del formulario original por correo postal.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72</w:t>
              <w:br/>
            </w:r>
            <w:r>
              <w:rPr>
                <w:noProof/>
                <w:sz w:val="2"/>
              </w:rPr>
              <w:t>1fc24f94-e1a2-4431-8371-c47779f138d7</w:t>
            </w:r>
          </w:p>
        </w:tc>
        <w:tc>
          <w:tcPr>
            <w:tcW w:w="360" w:type="dxa"/>
            <w:shd w:val="clear" w:color="auto" w:fill="F2F2F2"/>
          </w:tcPr>
          <w:p w:rsidR="00A77B3E">
            <w:pPr>
              <w:pStyle w:val="mqeng"/>
              <w:jc w:val="left"/>
            </w:pPr>
            <w:r>
              <w:rPr>
                <w:noProof/>
              </w:rPr>
              <w:t>Subsequent purchases may be undertaken by post or facsimile or through other electronic means of communication (subject to the acceptance by the Shareholder of any electronic delivery terms imposed by the Fund and/or the Registrar and Transfer Agent) to the appropriate Distributor or to the Registrar and Transfer Agent.</w:t>
            </w:r>
          </w:p>
        </w:tc>
        <w:tc>
          <w:tcPr>
            <w:tcW w:w="360" w:type="dxa"/>
            <w:shd w:val="clear" w:color="auto" w:fill="auto"/>
          </w:tcPr>
          <w:p w:rsidR="00A77B3E">
            <w:pPr>
              <w:pStyle w:val="mqspa"/>
              <w:jc w:val="left"/>
            </w:pPr>
            <w:r>
              <w:rPr>
                <w:noProof w:val="0"/>
              </w:rPr>
              <w:t>Las posteriores compras pueden realizarse por correo o fax o a través de otros medios de comunicación (sujeto a la aceptación por parte del Accionista de los términos de entrega electrónica impuestos por el Fondo y/o el Agente de Registro y Transferencias) al Distribuidor correspondiente o al Agente de Registro y Transferencias.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73</w:t>
              <w:br/>
            </w:r>
            <w:r>
              <w:rPr>
                <w:noProof/>
                <w:sz w:val="2"/>
              </w:rPr>
              <w:t>d4c757c9-78b0-4e60-887c-9afdc60f4a1c</w:t>
            </w:r>
          </w:p>
        </w:tc>
        <w:tc>
          <w:tcPr>
            <w:tcW w:w="360" w:type="dxa"/>
            <w:shd w:val="clear" w:color="auto" w:fill="F2F2F2"/>
          </w:tcPr>
          <w:p w:rsidR="00A77B3E">
            <w:pPr>
              <w:pStyle w:val="mqeng"/>
              <w:jc w:val="left"/>
            </w:pPr>
            <w:r>
              <w:rPr>
                <w:noProof/>
              </w:rPr>
              <w:t>The completed Application Form, relevant documents to support the application, should be sent to the Registrar and Transfer Agent.</w:t>
            </w:r>
          </w:p>
        </w:tc>
        <w:tc>
          <w:tcPr>
            <w:tcW w:w="360" w:type="dxa"/>
            <w:shd w:val="clear" w:color="auto" w:fill="auto"/>
          </w:tcPr>
          <w:p w:rsidR="00A77B3E">
            <w:pPr>
              <w:pStyle w:val="mqspa"/>
              <w:jc w:val="left"/>
            </w:pPr>
            <w:r>
              <w:rPr>
                <w:noProof w:val="0"/>
              </w:rPr>
              <w:t>El Formulario de solicitud completado, documentos relevantes para respaldar la solicitud, deben ser enviados al Agente de registro y transferencias.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74</w:t>
              <w:br/>
            </w:r>
            <w:r>
              <w:rPr>
                <w:noProof/>
                <w:sz w:val="2"/>
              </w:rPr>
              <w:t>2f39242c-df68-44ce-884a-194ad7694c43</w:t>
            </w:r>
          </w:p>
        </w:tc>
        <w:tc>
          <w:tcPr>
            <w:tcW w:w="360" w:type="dxa"/>
            <w:shd w:val="clear" w:color="auto" w:fill="F2F2F2"/>
          </w:tcPr>
          <w:p w:rsidR="00A77B3E">
            <w:pPr>
              <w:pStyle w:val="mqeng"/>
              <w:jc w:val="left"/>
            </w:pPr>
            <w:r>
              <w:rPr>
                <w:noProof/>
              </w:rPr>
              <w:t>Applicants are also requested to provide information required under relevant anti-money laundering laws and regulation.</w:t>
            </w:r>
          </w:p>
        </w:tc>
        <w:tc>
          <w:tcPr>
            <w:tcW w:w="360" w:type="dxa"/>
            <w:shd w:val="clear" w:color="auto" w:fill="auto"/>
          </w:tcPr>
          <w:p w:rsidR="00A77B3E">
            <w:pPr>
              <w:pStyle w:val="mqspa"/>
              <w:jc w:val="left"/>
            </w:pPr>
            <w:r>
              <w:rPr>
                <w:noProof w:val="0"/>
              </w:rPr>
              <w:t>Se solicita a los solicitantes que también proporcionen la información exigida por las leyes y normativas correspondientes contra el blanqueo de capitales.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75</w:t>
              <w:br/>
            </w:r>
            <w:r>
              <w:rPr>
                <w:noProof/>
                <w:sz w:val="2"/>
              </w:rPr>
              <w:t>d4400253-b6db-4455-93e1-1c7cbc148fcc</w:t>
            </w:r>
          </w:p>
        </w:tc>
        <w:tc>
          <w:tcPr>
            <w:tcW w:w="360" w:type="dxa"/>
            <w:shd w:val="clear" w:color="auto" w:fill="F2F2F2"/>
          </w:tcPr>
          <w:p w:rsidR="00A77B3E">
            <w:pPr>
              <w:pStyle w:val="mqeng"/>
              <w:jc w:val="left"/>
            </w:pPr>
            <w:r>
              <w:rPr>
                <w:noProof/>
              </w:rPr>
              <w:t>Failure to supply the required documentation in original or certified form, may delay the application from being processed.</w:t>
            </w:r>
          </w:p>
        </w:tc>
        <w:tc>
          <w:tcPr>
            <w:tcW w:w="360" w:type="dxa"/>
            <w:shd w:val="clear" w:color="auto" w:fill="auto"/>
          </w:tcPr>
          <w:p w:rsidR="00A77B3E">
            <w:pPr>
              <w:pStyle w:val="mqspa"/>
              <w:jc w:val="left"/>
            </w:pPr>
            <w:r>
              <w:rPr>
                <w:noProof w:val="0"/>
              </w:rPr>
              <w:t>Si no entrega la documentación necesaria en formulario original o certificado, puede retrasar la solicitud de ser procesada.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76</w:t>
              <w:br/>
            </w:r>
            <w:r>
              <w:rPr>
                <w:noProof/>
                <w:sz w:val="2"/>
              </w:rPr>
              <w:t>e8276d7d-942d-4595-80f9-29f1556301f2</w:t>
            </w:r>
          </w:p>
        </w:tc>
        <w:tc>
          <w:tcPr>
            <w:tcW w:w="360" w:type="dxa"/>
            <w:shd w:val="clear" w:color="auto" w:fill="F2F2F2"/>
          </w:tcPr>
          <w:p w:rsidR="00A77B3E">
            <w:pPr>
              <w:pStyle w:val="mqeng"/>
              <w:jc w:val="left"/>
            </w:pPr>
            <w:r>
              <w:rPr>
                <w:noProof/>
              </w:rPr>
              <w:t>Investors shall be deemed to have read the latest version of each relevant KID prior to submitting every investment application.</w:t>
            </w:r>
          </w:p>
        </w:tc>
        <w:tc>
          <w:tcPr>
            <w:tcW w:w="360" w:type="dxa"/>
            <w:shd w:val="clear" w:color="auto" w:fill="auto"/>
          </w:tcPr>
          <w:p w:rsidR="00A77B3E">
            <w:pPr>
              <w:pStyle w:val="mqspa"/>
              <w:jc w:val="left"/>
            </w:pPr>
            <w:r>
              <w:rPr>
                <w:noProof w:val="0"/>
              </w:rPr>
              <w:t>Los inversores se considerarán que han leído la última versión de cada DDF correspondiente antes de presentar una solicitud de inversión.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77</w:t>
              <w:br/>
            </w:r>
            <w:r>
              <w:rPr>
                <w:noProof/>
                <w:sz w:val="2"/>
              </w:rPr>
              <w:t>f6840cf4-18b7-47cc-ac70-07ba40afa77d</w:t>
            </w:r>
          </w:p>
        </w:tc>
        <w:tc>
          <w:tcPr>
            <w:tcW w:w="360" w:type="dxa"/>
            <w:shd w:val="clear" w:color="auto" w:fill="F2F2F2"/>
          </w:tcPr>
          <w:p w:rsidR="00A77B3E">
            <w:pPr>
              <w:pStyle w:val="mqeng"/>
              <w:jc w:val="left"/>
            </w:pPr>
            <w:r>
              <w:rPr>
                <w:noProof/>
              </w:rPr>
              <w:t>Investors who obtain the KID from the Registrar and Transfer Agent must confirm to have read the latest version of each relevant KID prior to submitting every subsequent purchase.</w:t>
            </w:r>
          </w:p>
        </w:tc>
        <w:tc>
          <w:tcPr>
            <w:tcW w:w="360" w:type="dxa"/>
            <w:shd w:val="clear" w:color="auto" w:fill="auto"/>
          </w:tcPr>
          <w:p w:rsidR="00A77B3E">
            <w:pPr>
              <w:pStyle w:val="mqspa"/>
              <w:jc w:val="left"/>
            </w:pPr>
            <w:r>
              <w:rPr>
                <w:noProof w:val="0"/>
              </w:rPr>
              <w:t>Los inversores que obtengan el KID del Registrador y Agente de Transferencia deben confirmar que han leído la última versión de cada KID relevante antes de presentar cada compra subsiguiente.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78</w:t>
              <w:br/>
            </w:r>
            <w:r>
              <w:rPr>
                <w:noProof/>
                <w:sz w:val="2"/>
              </w:rPr>
              <w:t>544bc7ef-7441-46c1-ac39-f325ae7dc151</w:t>
            </w:r>
          </w:p>
        </w:tc>
        <w:tc>
          <w:tcPr>
            <w:tcW w:w="360" w:type="dxa"/>
            <w:shd w:val="clear" w:color="auto" w:fill="F2F2F2"/>
          </w:tcPr>
          <w:p w:rsidR="00A77B3E">
            <w:pPr>
              <w:pStyle w:val="mqeng"/>
              <w:jc w:val="left"/>
            </w:pPr>
            <w:r>
              <w:rPr>
                <w:noProof/>
              </w:rPr>
              <w:t>Applications may also be made through the Company’s Authorised Distributors in the countries in which the Shares are offered and sold.</w:t>
            </w:r>
          </w:p>
        </w:tc>
        <w:tc>
          <w:tcPr>
            <w:tcW w:w="360" w:type="dxa"/>
            <w:shd w:val="clear" w:color="auto" w:fill="auto"/>
          </w:tcPr>
          <w:p w:rsidR="00A77B3E">
            <w:pPr>
              <w:pStyle w:val="mqspa"/>
              <w:jc w:val="left"/>
            </w:pPr>
            <w:r>
              <w:rPr>
                <w:noProof w:val="0"/>
              </w:rPr>
              <w:t>Las solicitudes también pueden realizarse a través de las Entidades autorizadas de la Sociedad en los países en los que se ofrecen y venden las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79</w:t>
              <w:br/>
            </w:r>
            <w:r>
              <w:rPr>
                <w:noProof/>
                <w:sz w:val="2"/>
              </w:rPr>
              <w:t>ce493b1c-1579-40b7-938b-cb257f0c94dc</w:t>
            </w:r>
          </w:p>
        </w:tc>
        <w:tc>
          <w:tcPr>
            <w:tcW w:w="360" w:type="dxa"/>
            <w:shd w:val="clear" w:color="auto" w:fill="F2F2F2"/>
          </w:tcPr>
          <w:p w:rsidR="00A77B3E">
            <w:pPr>
              <w:pStyle w:val="mqeng"/>
              <w:jc w:val="left"/>
            </w:pPr>
            <w:r>
              <w:rPr>
                <w:noProof/>
              </w:rPr>
              <w:t>In addition, Shares can be bought on any stock exchange on which the particular Fund is listed.</w:t>
            </w:r>
          </w:p>
        </w:tc>
        <w:tc>
          <w:tcPr>
            <w:tcW w:w="360" w:type="dxa"/>
            <w:shd w:val="clear" w:color="auto" w:fill="auto"/>
          </w:tcPr>
          <w:p w:rsidR="00A77B3E">
            <w:pPr>
              <w:pStyle w:val="mqspa"/>
              <w:jc w:val="left"/>
            </w:pPr>
            <w:r>
              <w:rPr>
                <w:noProof w:val="0"/>
              </w:rPr>
              <w:t>Además, las Acciones se pueden comprar en cualquier bolsa en la que esté listado el Fondo.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80</w:t>
              <w:br/>
            </w:r>
            <w:r>
              <w:rPr>
                <w:noProof/>
                <w:sz w:val="2"/>
              </w:rPr>
              <w:t>8d6e246c-6b85-4b74-935c-f9541363a075</w:t>
            </w:r>
          </w:p>
        </w:tc>
        <w:tc>
          <w:tcPr>
            <w:tcW w:w="360" w:type="dxa"/>
            <w:shd w:val="clear" w:color="auto" w:fill="F2F2F2"/>
          </w:tcPr>
          <w:p w:rsidR="00A77B3E">
            <w:pPr>
              <w:pStyle w:val="mqeng"/>
              <w:jc w:val="left"/>
            </w:pPr>
            <w:r>
              <w:rPr>
                <w:noProof/>
              </w:rPr>
              <w:t>Italian investors may subscribe to Shares of the Funds by adhering to a share accumulation plan (PAC) which allows subscribers to spread out the investment over time by making a series of payments.</w:t>
            </w:r>
          </w:p>
        </w:tc>
        <w:tc>
          <w:tcPr>
            <w:tcW w:w="360" w:type="dxa"/>
            <w:shd w:val="clear" w:color="auto" w:fill="auto"/>
          </w:tcPr>
          <w:p w:rsidR="00A77B3E">
            <w:pPr>
              <w:pStyle w:val="mqspa"/>
              <w:jc w:val="left"/>
            </w:pPr>
            <w:r>
              <w:rPr>
                <w:noProof w:val="0"/>
              </w:rPr>
              <w:t>Los inversores italianos pueden suscribirse a las acciones de los Fondos al adherirse a un plan de acumulación de acciones (PAC), que permite a los suscriptores distribuir la inversión a lo largo del tiempo mediante una serie de pagos.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81</w:t>
              <w:br/>
            </w:r>
            <w:r>
              <w:rPr>
                <w:noProof/>
                <w:sz w:val="2"/>
              </w:rPr>
              <w:t>f82adf72-61c0-4a3d-88af-126b6722be4b</w:t>
            </w:r>
          </w:p>
        </w:tc>
        <w:tc>
          <w:tcPr>
            <w:tcW w:w="360" w:type="dxa"/>
            <w:shd w:val="clear" w:color="auto" w:fill="F2F2F2"/>
          </w:tcPr>
          <w:p w:rsidR="00A77B3E">
            <w:pPr>
              <w:pStyle w:val="mqeng"/>
              <w:jc w:val="left"/>
            </w:pPr>
            <w:r>
              <w:rPr>
                <w:noProof/>
              </w:rPr>
              <w:t>An investor wishing to buy Shares should refer to the ‘How to Buy’ paragraph under the section ‘Buying, Redeeming and Switching Shares’ of this Prospectus.</w:t>
            </w:r>
          </w:p>
        </w:tc>
        <w:tc>
          <w:tcPr>
            <w:tcW w:w="360" w:type="dxa"/>
            <w:shd w:val="clear" w:color="auto" w:fill="auto"/>
          </w:tcPr>
          <w:p w:rsidR="00A77B3E">
            <w:pPr>
              <w:pStyle w:val="mqspa"/>
              <w:jc w:val="left"/>
            </w:pPr>
            <w:r>
              <w:rPr>
                <w:noProof w:val="0"/>
              </w:rPr>
              <w:t>Un inversor que desee comprar Acciones debe consultar el párrafo ‘Cómo comprar’ en la sección ‘Compra, Reembolso y Canje de acciones’ de este Folleto.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82</w:t>
              <w:br/>
            </w:r>
            <w:r>
              <w:rPr>
                <w:noProof/>
                <w:sz w:val="2"/>
              </w:rPr>
              <w:t>74db6925-c431-4d66-bc4d-59300b0811f7</w:t>
            </w:r>
          </w:p>
        </w:tc>
        <w:tc>
          <w:tcPr>
            <w:tcW w:w="360" w:type="dxa"/>
            <w:shd w:val="clear" w:color="auto" w:fill="F2F2F2"/>
          </w:tcPr>
          <w:p w:rsidR="00A77B3E">
            <w:pPr>
              <w:pStyle w:val="mqeng"/>
              <w:jc w:val="left"/>
            </w:pPr>
            <w:r>
              <w:rPr>
                <w:b/>
                <w:i w:val="0"/>
                <w:noProof/>
                <w:u w:val="none"/>
                <w:vertAlign w:val="baseline"/>
              </w:rPr>
              <w:t>When is the price at which Shares are bought or sold determined?</w:t>
            </w:r>
          </w:p>
        </w:tc>
        <w:tc>
          <w:tcPr>
            <w:tcW w:w="360" w:type="dxa"/>
            <w:shd w:val="clear" w:color="auto" w:fill="auto"/>
          </w:tcPr>
          <w:p w:rsidR="00A77B3E">
            <w:pPr>
              <w:pStyle w:val="mqspa"/>
              <w:jc w:val="left"/>
            </w:pPr>
            <w:r>
              <w:rPr>
                <w:b/>
                <w:i w:val="0"/>
                <w:noProof w:val="0"/>
                <w:u w:val="none"/>
                <w:vertAlign w:val="baseline"/>
              </w:rPr>
              <w:t>¿Cuándo se determina el precio al que se compran o venden las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83</w:t>
              <w:br/>
            </w:r>
            <w:r>
              <w:rPr>
                <w:noProof/>
                <w:sz w:val="2"/>
              </w:rPr>
              <w:t>ca16e1b5-5d9b-4be9-8810-1de69c5921e4</w:t>
            </w:r>
          </w:p>
        </w:tc>
        <w:tc>
          <w:tcPr>
            <w:tcW w:w="360" w:type="dxa"/>
            <w:shd w:val="clear" w:color="auto" w:fill="F2F2F2"/>
          </w:tcPr>
          <w:p w:rsidR="00A77B3E">
            <w:pPr>
              <w:pStyle w:val="mqeng"/>
              <w:jc w:val="left"/>
            </w:pPr>
            <w:r>
              <w:rPr>
                <w:noProof/>
              </w:rPr>
              <w:t>Prices of Shares are calculated each Dealing Day by the Administrator.</w:t>
            </w:r>
          </w:p>
        </w:tc>
        <w:tc>
          <w:tcPr>
            <w:tcW w:w="360" w:type="dxa"/>
            <w:shd w:val="clear" w:color="auto" w:fill="auto"/>
          </w:tcPr>
          <w:p w:rsidR="00A77B3E">
            <w:pPr>
              <w:pStyle w:val="mqspa"/>
              <w:jc w:val="left"/>
            </w:pPr>
            <w:r>
              <w:rPr>
                <w:noProof w:val="0"/>
              </w:rPr>
              <w:t>Los precios de las Acciones se calculan cada Día de negociación por el Administrador.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84</w:t>
              <w:br/>
            </w:r>
            <w:r>
              <w:rPr>
                <w:noProof/>
                <w:sz w:val="2"/>
              </w:rPr>
              <w:t>3bb5ebae-6274-4b3d-8b77-192213ecf119</w:t>
            </w:r>
          </w:p>
        </w:tc>
        <w:tc>
          <w:tcPr>
            <w:tcW w:w="360" w:type="dxa"/>
            <w:shd w:val="clear" w:color="auto" w:fill="F2F2F2"/>
          </w:tcPr>
          <w:p w:rsidR="00A77B3E">
            <w:pPr>
              <w:pStyle w:val="mqeng"/>
              <w:jc w:val="left"/>
            </w:pPr>
            <w:r>
              <w:rPr>
                <w:noProof/>
              </w:rPr>
              <w:t>The price will be determined using a Valuation Point on or after the Dealing Cut-Off concerned.</w:t>
            </w:r>
          </w:p>
        </w:tc>
        <w:tc>
          <w:tcPr>
            <w:tcW w:w="360" w:type="dxa"/>
            <w:shd w:val="clear" w:color="auto" w:fill="auto"/>
          </w:tcPr>
          <w:p w:rsidR="00A77B3E">
            <w:pPr>
              <w:pStyle w:val="mqspa"/>
              <w:jc w:val="left"/>
            </w:pPr>
            <w:r>
              <w:rPr>
                <w:noProof w:val="0"/>
              </w:rPr>
              <w:t>El precio se determinará utilizando un Momento de valoración en o después de la Hora límite de operaciones correspondiente.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85</w:t>
              <w:br/>
            </w:r>
            <w:r>
              <w:rPr>
                <w:noProof/>
                <w:sz w:val="2"/>
              </w:rPr>
              <w:t>fdc6a25a-1718-44d0-95cd-cc6cde467686</w:t>
            </w:r>
          </w:p>
        </w:tc>
        <w:tc>
          <w:tcPr>
            <w:tcW w:w="360" w:type="dxa"/>
            <w:shd w:val="clear" w:color="auto" w:fill="F2F2F2"/>
          </w:tcPr>
          <w:p w:rsidR="00A77B3E">
            <w:pPr>
              <w:pStyle w:val="mqeng"/>
              <w:jc w:val="left"/>
            </w:pPr>
            <w:r>
              <w:rPr>
                <w:noProof/>
              </w:rPr>
              <w:t>If extraordinary market conditions so require, the Directors may decide to postpone the Valuation Point.</w:t>
            </w:r>
          </w:p>
        </w:tc>
        <w:tc>
          <w:tcPr>
            <w:tcW w:w="360" w:type="dxa"/>
            <w:shd w:val="clear" w:color="auto" w:fill="auto"/>
          </w:tcPr>
          <w:p w:rsidR="00A77B3E">
            <w:pPr>
              <w:pStyle w:val="mqspa"/>
              <w:jc w:val="left"/>
            </w:pPr>
            <w:r>
              <w:rPr>
                <w:noProof w:val="0"/>
              </w:rPr>
              <w:t>Si las condiciones del mercado así lo requieren, los Consejeros pueden decidir posponer el Momento de valoración.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86</w:t>
              <w:br/>
            </w:r>
            <w:r>
              <w:rPr>
                <w:noProof/>
                <w:sz w:val="2"/>
              </w:rPr>
              <w:t>2222caea-f55c-4b07-a12b-9973c88d4e58</w:t>
            </w:r>
          </w:p>
        </w:tc>
        <w:tc>
          <w:tcPr>
            <w:tcW w:w="360" w:type="dxa"/>
            <w:shd w:val="clear" w:color="auto" w:fill="F2F2F2"/>
          </w:tcPr>
          <w:p w:rsidR="00A77B3E">
            <w:pPr>
              <w:pStyle w:val="mqeng"/>
              <w:jc w:val="left"/>
            </w:pPr>
            <w:r>
              <w:rPr>
                <w:noProof/>
              </w:rPr>
              <w:t>The Administrator adopts a ‘forward pricing’ policy, which means that the price at which Shares are bought or sold (exclusive of any initial charge) is that calculated at the Valuation Point following receipt of the order.</w:t>
            </w:r>
          </w:p>
        </w:tc>
        <w:tc>
          <w:tcPr>
            <w:tcW w:w="360" w:type="dxa"/>
            <w:shd w:val="clear" w:color="auto" w:fill="auto"/>
          </w:tcPr>
          <w:p w:rsidR="00A77B3E">
            <w:pPr>
              <w:pStyle w:val="mqspa"/>
              <w:jc w:val="left"/>
            </w:pPr>
            <w:r>
              <w:rPr>
                <w:noProof w:val="0"/>
              </w:rPr>
              <w:t>El Administrador adopta una política de precios a plazo, que significa que el precio al que se compran o venden las Acciones (antes de aplicar la comisión inicial) es el que se calcula en el Momento de valoración posterior a la recepción de la orden.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87</w:t>
              <w:br/>
            </w:r>
            <w:r>
              <w:rPr>
                <w:noProof/>
                <w:sz w:val="2"/>
              </w:rPr>
              <w:t>3dde1e77-6915-4ed2-af19-73eef3fbc12e</w:t>
            </w:r>
          </w:p>
        </w:tc>
        <w:tc>
          <w:tcPr>
            <w:tcW w:w="360" w:type="dxa"/>
            <w:shd w:val="clear" w:color="auto" w:fill="F2F2F2"/>
          </w:tcPr>
          <w:p w:rsidR="00A77B3E">
            <w:pPr>
              <w:pStyle w:val="mqeng"/>
              <w:jc w:val="left"/>
            </w:pPr>
            <w:r>
              <w:rPr>
                <w:noProof/>
              </w:rPr>
              <w:t>This means that it is not possible to know in advance the price at which the deal will be struck.</w:t>
            </w:r>
          </w:p>
        </w:tc>
        <w:tc>
          <w:tcPr>
            <w:tcW w:w="360" w:type="dxa"/>
            <w:shd w:val="clear" w:color="auto" w:fill="auto"/>
          </w:tcPr>
          <w:p w:rsidR="00A77B3E">
            <w:pPr>
              <w:pStyle w:val="mqspa"/>
              <w:jc w:val="left"/>
            </w:pPr>
            <w:r>
              <w:rPr>
                <w:noProof w:val="0"/>
              </w:rPr>
              <w:t>Esto significa que no es posible conocer de antemano el precio al que se cerrará el trato.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88</w:t>
              <w:br/>
            </w:r>
            <w:r>
              <w:rPr>
                <w:noProof/>
                <w:sz w:val="2"/>
              </w:rPr>
              <w:t>b13e74c1-5af5-4857-9677-2ee8f42ff95e</w:t>
            </w:r>
          </w:p>
        </w:tc>
        <w:tc>
          <w:tcPr>
            <w:tcW w:w="360" w:type="dxa"/>
            <w:shd w:val="clear" w:color="auto" w:fill="F2F2F2"/>
          </w:tcPr>
          <w:p w:rsidR="00A77B3E">
            <w:pPr>
              <w:pStyle w:val="mqeng"/>
              <w:jc w:val="left"/>
            </w:pPr>
            <w:r>
              <w:rPr>
                <w:b/>
                <w:i w:val="0"/>
                <w:noProof/>
                <w:u w:val="none"/>
                <w:vertAlign w:val="baseline"/>
              </w:rPr>
              <w:t>What rights do applicants have to cancel any purchase?</w:t>
            </w:r>
          </w:p>
        </w:tc>
        <w:tc>
          <w:tcPr>
            <w:tcW w:w="360" w:type="dxa"/>
            <w:shd w:val="clear" w:color="auto" w:fill="auto"/>
          </w:tcPr>
          <w:p w:rsidR="00A77B3E">
            <w:pPr>
              <w:pStyle w:val="mqspa"/>
              <w:jc w:val="left"/>
            </w:pPr>
            <w:r>
              <w:rPr>
                <w:b/>
                <w:i w:val="0"/>
                <w:noProof w:val="0"/>
                <w:u w:val="none"/>
                <w:vertAlign w:val="baseline"/>
              </w:rPr>
              <w:t>¿Qué derechos tienen los solicitantes para cancelar cualquier compra?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89</w:t>
              <w:br/>
            </w:r>
            <w:r>
              <w:rPr>
                <w:noProof/>
                <w:sz w:val="2"/>
              </w:rPr>
              <w:t>4cd6c73d-cfff-45fa-898a-4e5e76ed9577</w:t>
            </w:r>
          </w:p>
        </w:tc>
        <w:tc>
          <w:tcPr>
            <w:tcW w:w="360" w:type="dxa"/>
            <w:shd w:val="clear" w:color="auto" w:fill="F2F2F2"/>
          </w:tcPr>
          <w:p w:rsidR="00A77B3E">
            <w:pPr>
              <w:pStyle w:val="mqeng"/>
              <w:jc w:val="left"/>
            </w:pPr>
            <w:r>
              <w:rPr>
                <w:noProof/>
              </w:rPr>
              <w:t>Once Shares have been bought, and subject to any provision to the contrary applicable in the jurisdictions where the Shares are sold, the applicant has no right to cancel the deal.</w:t>
            </w:r>
          </w:p>
        </w:tc>
        <w:tc>
          <w:tcPr>
            <w:tcW w:w="360" w:type="dxa"/>
            <w:shd w:val="clear" w:color="auto" w:fill="auto"/>
          </w:tcPr>
          <w:p w:rsidR="00A77B3E">
            <w:pPr>
              <w:pStyle w:val="mqspa"/>
              <w:jc w:val="left"/>
            </w:pPr>
            <w:r>
              <w:rPr>
                <w:noProof w:val="0"/>
              </w:rPr>
              <w:t>Una vez que se hayan comprado las Acciones, y sujeto a cualquier disposición en contrario aplicable en las jurisdicciones donde se venden las Acciones, el solicitante no tiene derecho a cancelar el acuerdo.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90</w:t>
              <w:br/>
            </w:r>
            <w:r>
              <w:rPr>
                <w:noProof/>
                <w:sz w:val="2"/>
              </w:rPr>
              <w:t>f177f8b0-a6dd-4353-a8d2-939e7f26d4fb</w:t>
            </w:r>
          </w:p>
        </w:tc>
        <w:tc>
          <w:tcPr>
            <w:tcW w:w="360" w:type="dxa"/>
            <w:shd w:val="clear" w:color="auto" w:fill="F2F2F2"/>
          </w:tcPr>
          <w:p w:rsidR="00A77B3E">
            <w:pPr>
              <w:pStyle w:val="mqeng"/>
              <w:jc w:val="left"/>
            </w:pPr>
            <w:r>
              <w:rPr>
                <w:noProof/>
              </w:rPr>
              <w:t>However, a Shareholder can sell their Shares back to the Company at any time provided such rights of redemption have not been suspended or deferred and subject to any applicable conditions set out in this Prospectus.</w:t>
            </w:r>
          </w:p>
        </w:tc>
        <w:tc>
          <w:tcPr>
            <w:tcW w:w="360" w:type="dxa"/>
            <w:shd w:val="clear" w:color="auto" w:fill="auto"/>
          </w:tcPr>
          <w:p w:rsidR="00A77B3E">
            <w:pPr>
              <w:pStyle w:val="mqspa"/>
              <w:jc w:val="left"/>
            </w:pPr>
            <w:r>
              <w:rPr>
                <w:noProof w:val="0"/>
              </w:rPr>
              <w:t>Sin embargo, un Accionista puede vender sus Acciones de vuelta a la Compañía en cualquier momento, siempre que dichos derechos de reembolso no hayan sido suspendidos o aplazados y sujeto a cualquier condición aplicable establecida en este Folleto.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91</w:t>
              <w:br/>
            </w:r>
            <w:r>
              <w:rPr>
                <w:noProof/>
                <w:sz w:val="2"/>
              </w:rPr>
              <w:t>5be8c540-9640-4b6d-906c-5f921cfa88ab</w:t>
            </w:r>
          </w:p>
        </w:tc>
        <w:tc>
          <w:tcPr>
            <w:tcW w:w="360" w:type="dxa"/>
            <w:shd w:val="clear" w:color="auto" w:fill="F2F2F2"/>
          </w:tcPr>
          <w:p w:rsidR="00A77B3E">
            <w:pPr>
              <w:pStyle w:val="mqeng"/>
              <w:jc w:val="left"/>
            </w:pPr>
            <w:r>
              <w:rPr>
                <w:b/>
                <w:i w:val="0"/>
                <w:noProof/>
                <w:u w:val="none"/>
                <w:vertAlign w:val="baseline"/>
              </w:rPr>
              <w:t>What rights do Shareholders have to be paid distributions?</w:t>
            </w:r>
          </w:p>
        </w:tc>
        <w:tc>
          <w:tcPr>
            <w:tcW w:w="360" w:type="dxa"/>
            <w:shd w:val="clear" w:color="auto" w:fill="auto"/>
          </w:tcPr>
          <w:p w:rsidR="00A77B3E">
            <w:pPr>
              <w:pStyle w:val="mqspa"/>
              <w:jc w:val="left"/>
            </w:pPr>
            <w:r>
              <w:rPr>
                <w:b/>
                <w:i w:val="0"/>
                <w:noProof w:val="0"/>
                <w:u w:val="none"/>
                <w:vertAlign w:val="baseline"/>
              </w:rPr>
              <w:t>¿Qué derechos tienen los Accionistas para recibir pagarse repartos?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92</w:t>
              <w:br/>
            </w:r>
            <w:r>
              <w:rPr>
                <w:noProof/>
                <w:sz w:val="2"/>
              </w:rPr>
              <w:t>18daf20d-dad7-4784-b0da-44980f1bb3ba</w:t>
            </w:r>
          </w:p>
        </w:tc>
        <w:tc>
          <w:tcPr>
            <w:tcW w:w="360" w:type="dxa"/>
            <w:shd w:val="clear" w:color="auto" w:fill="F2F2F2"/>
          </w:tcPr>
          <w:p w:rsidR="00A77B3E">
            <w:pPr>
              <w:pStyle w:val="mqeng"/>
              <w:jc w:val="left"/>
            </w:pPr>
            <w:r>
              <w:rPr>
                <w:rStyle w:val="mqInternal"/>
                <w:b w:val="0"/>
                <w:i w:val="0"/>
                <w:noProof/>
                <w:u w:val="none"/>
                <w:vertAlign w:val="baseline"/>
              </w:rPr>
              <w:t>[1}</w:t>
            </w:r>
            <w:r>
              <w:rPr>
                <w:noProof/>
              </w:rPr>
              <w:t>In respect of Distribution Shares, where issued, Funds may distribute gross income and net realised and unrealised capital gains, as well as capital, subject to the minimum capital requirement imposed by law.</w:t>
            </w:r>
          </w:p>
        </w:tc>
        <w:tc>
          <w:tcPr>
            <w:tcW w:w="360" w:type="dxa"/>
            <w:shd w:val="clear" w:color="auto" w:fill="auto"/>
          </w:tcPr>
          <w:p w:rsidR="00A77B3E">
            <w:pPr>
              <w:pStyle w:val="mqspa"/>
              <w:jc w:val="left"/>
            </w:pPr>
            <w:r>
              <w:rPr>
                <w:rStyle w:val="mqInternal"/>
                <w:b w:val="0"/>
                <w:i w:val="0"/>
                <w:noProof/>
                <w:u w:val="none"/>
                <w:vertAlign w:val="baseline"/>
              </w:rPr>
              <w:t>[1}</w:t>
            </w:r>
            <w:r>
              <w:rPr>
                <w:noProof w:val="0"/>
              </w:rPr>
              <w:t>En relación con las Acciones de Distribución, donde se emitan, los Fondos pueden distribuir ingresos brutos y ganancias de capital netas realizadas y no realizadas, así como capital, sujeto al requisito mínimo de capital impuesto por la ley.</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93</w:t>
              <w:br/>
            </w:r>
            <w:r>
              <w:rPr>
                <w:noProof/>
                <w:sz w:val="2"/>
              </w:rPr>
              <w:t>ce7f0551-95ac-4ca8-865b-77b0b2d743aa</w:t>
            </w:r>
          </w:p>
        </w:tc>
        <w:tc>
          <w:tcPr>
            <w:tcW w:w="360" w:type="dxa"/>
            <w:shd w:val="clear" w:color="auto" w:fill="F2F2F2"/>
          </w:tcPr>
          <w:p w:rsidR="00A77B3E">
            <w:pPr>
              <w:pStyle w:val="mqeng"/>
              <w:jc w:val="left"/>
            </w:pPr>
            <w:r>
              <w:rPr>
                <w:noProof/>
              </w:rPr>
              <w:t>Distributions in respect of Distribution Shares as set out in the section ’Distribution Policy’ of this Prospectus.</w:t>
            </w:r>
          </w:p>
        </w:tc>
        <w:tc>
          <w:tcPr>
            <w:tcW w:w="360" w:type="dxa"/>
            <w:shd w:val="clear" w:color="auto" w:fill="auto"/>
          </w:tcPr>
          <w:p w:rsidR="00A77B3E">
            <w:pPr>
              <w:pStyle w:val="mqspa"/>
              <w:jc w:val="left"/>
            </w:pPr>
            <w:r>
              <w:rPr>
                <w:noProof w:val="0"/>
              </w:rPr>
              <w:t>Distribuciones en relación con las Acciones de reparto según lo establecido en la sección 'Política de distribución' de este Folleto informativo.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94</w:t>
              <w:br/>
            </w:r>
            <w:r>
              <w:rPr>
                <w:noProof/>
                <w:sz w:val="2"/>
              </w:rPr>
              <w:t>fb0f42c7-9023-4d9d-b121-6f12617944c7</w:t>
            </w:r>
          </w:p>
        </w:tc>
        <w:tc>
          <w:tcPr>
            <w:tcW w:w="360" w:type="dxa"/>
            <w:shd w:val="clear" w:color="auto" w:fill="F2F2F2"/>
          </w:tcPr>
          <w:p w:rsidR="00A77B3E">
            <w:pPr>
              <w:pStyle w:val="mqeng"/>
              <w:jc w:val="left"/>
            </w:pPr>
            <w:r>
              <w:rPr>
                <w:noProof/>
              </w:rPr>
              <w:t>No distributions will be made, in respect of Accumulation Shares.</w:t>
            </w:r>
          </w:p>
        </w:tc>
        <w:tc>
          <w:tcPr>
            <w:tcW w:w="360" w:type="dxa"/>
            <w:shd w:val="clear" w:color="auto" w:fill="auto"/>
          </w:tcPr>
          <w:p w:rsidR="00A77B3E">
            <w:pPr>
              <w:pStyle w:val="mqspa"/>
              <w:jc w:val="left"/>
            </w:pPr>
            <w:r>
              <w:rPr>
                <w:noProof w:val="0"/>
              </w:rPr>
              <w:t>No se realizarán distribuciones con respecto a las Acciones de capitalización.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95</w:t>
              <w:br/>
            </w:r>
            <w:r>
              <w:rPr>
                <w:noProof/>
                <w:sz w:val="2"/>
              </w:rPr>
              <w:t>4f3c09a2-e817-45c0-a142-a450bdaeb5a1</w:t>
            </w:r>
          </w:p>
        </w:tc>
        <w:tc>
          <w:tcPr>
            <w:tcW w:w="360" w:type="dxa"/>
            <w:shd w:val="clear" w:color="auto" w:fill="F2F2F2"/>
          </w:tcPr>
          <w:p w:rsidR="00A77B3E">
            <w:pPr>
              <w:pStyle w:val="mqeng"/>
              <w:jc w:val="left"/>
            </w:pPr>
            <w:r>
              <w:rPr>
                <w:rStyle w:val="mqInternal"/>
                <w:b w:val="0"/>
                <w:i w:val="0"/>
                <w:noProof/>
                <w:u w:val="none"/>
                <w:vertAlign w:val="baseline"/>
              </w:rPr>
              <w:t>{1]</w:t>
            </w:r>
            <w:r>
              <w:rPr>
                <w:rStyle w:val="mqInternal"/>
                <w:b w:val="0"/>
                <w:i w:val="0"/>
                <w:noProof/>
                <w:u w:val="none"/>
                <w:vertAlign w:val="baseline"/>
              </w:rPr>
              <w:t>[2}</w:t>
            </w:r>
            <w:r>
              <w:rPr>
                <w:noProof/>
              </w:rPr>
              <w:t>A calendar including details on the distribution policy and distribution frequency for all available Share Classes can be obtained from the website www.janushenderson.com or from the registered office of the Company.</w:t>
            </w:r>
            <w:r>
              <w:rPr>
                <w:rStyle w:val="mqInternal"/>
                <w:b w:val="0"/>
                <w:i w:val="0"/>
                <w:noProof/>
                <w:u w:val="none"/>
                <w:vertAlign w:val="baseline"/>
              </w:rPr>
              <w:t>{3]</w:t>
            </w:r>
          </w:p>
        </w:tc>
        <w:tc>
          <w:tcPr>
            <w:tcW w:w="360" w:type="dxa"/>
            <w:shd w:val="clear" w:color="auto" w:fill="auto"/>
          </w:tcPr>
          <w:p w:rsidR="00A77B3E">
            <w:pPr>
              <w:pStyle w:val="mqspa"/>
              <w:jc w:val="left"/>
            </w:pPr>
            <w:r>
              <w:rPr>
                <w:rStyle w:val="mqInternal"/>
                <w:b w:val="0"/>
                <w:i w:val="0"/>
                <w:noProof/>
                <w:u w:val="none"/>
                <w:vertAlign w:val="baseline"/>
              </w:rPr>
              <w:t>[2}</w:t>
            </w:r>
            <w:r>
              <w:rPr>
                <w:noProof w:val="0"/>
              </w:rPr>
              <w:t xml:space="preserve"> </w:t>
            </w:r>
            <w:r>
              <w:rPr>
                <w:rStyle w:val="mqInternal"/>
                <w:b w:val="0"/>
                <w:i w:val="0"/>
                <w:noProof/>
                <w:u w:val="none"/>
                <w:vertAlign w:val="baseline"/>
              </w:rPr>
              <w:t>{3]</w:t>
            </w:r>
            <w:r>
              <w:rPr>
                <w:noProof w:val="0"/>
              </w:rPr>
              <w:t>Un calendario en el que se incluyen detalles sobre la política de distribución y la frecuencia de distribución de todas las Clases de acciones disponibles puede obtenerse en el sitio web www.janushenderson.com o en el domicilio social de la Sociedad.</w:t>
            </w:r>
            <w:r>
              <w:rPr>
                <w:rStyle w:val="mqInternal"/>
                <w:b w:val="0"/>
                <w:i w:val="0"/>
                <w:noProof/>
                <w:u w:val="none"/>
                <w:vertAlign w:val="baseline"/>
              </w:rPr>
              <w:t>{1]</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96</w:t>
              <w:br/>
            </w:r>
            <w:r>
              <w:rPr>
                <w:noProof/>
                <w:sz w:val="2"/>
              </w:rPr>
              <w:t>8c62dbe1-c628-459a-b677-39f7b71fc02e</w:t>
            </w:r>
          </w:p>
        </w:tc>
        <w:tc>
          <w:tcPr>
            <w:tcW w:w="360" w:type="dxa"/>
            <w:shd w:val="clear" w:color="auto" w:fill="F2F2F2"/>
          </w:tcPr>
          <w:p w:rsidR="00A77B3E">
            <w:pPr>
              <w:pStyle w:val="mqeng"/>
              <w:jc w:val="left"/>
            </w:pPr>
            <w:r>
              <w:rPr>
                <w:b/>
                <w:i w:val="0"/>
                <w:noProof/>
                <w:u w:val="none"/>
                <w:vertAlign w:val="baseline"/>
              </w:rPr>
              <w:t>How can Shareholders follow the progress of their investment?</w:t>
            </w:r>
          </w:p>
        </w:tc>
        <w:tc>
          <w:tcPr>
            <w:tcW w:w="360" w:type="dxa"/>
            <w:shd w:val="clear" w:color="auto" w:fill="auto"/>
          </w:tcPr>
          <w:p w:rsidR="00A77B3E">
            <w:pPr>
              <w:pStyle w:val="mqspa"/>
              <w:jc w:val="left"/>
            </w:pPr>
            <w:r>
              <w:rPr>
                <w:b/>
                <w:i w:val="0"/>
                <w:noProof w:val="0"/>
                <w:u w:val="none"/>
                <w:vertAlign w:val="baseline"/>
              </w:rPr>
              <w:t>¿Cómo pueden los Accionistas seguir el progreso de su inversión?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97</w:t>
              <w:br/>
            </w:r>
            <w:r>
              <w:rPr>
                <w:noProof/>
                <w:sz w:val="2"/>
              </w:rPr>
              <w:t>e5f1ae26-bc5e-48b5-a09e-4370cf105f95</w:t>
            </w:r>
          </w:p>
        </w:tc>
        <w:tc>
          <w:tcPr>
            <w:tcW w:w="360" w:type="dxa"/>
            <w:shd w:val="clear" w:color="auto" w:fill="F2F2F2"/>
          </w:tcPr>
          <w:p w:rsidR="00A77B3E">
            <w:pPr>
              <w:pStyle w:val="mqeng"/>
              <w:jc w:val="left"/>
            </w:pPr>
            <w:r>
              <w:rPr>
                <w:noProof/>
              </w:rPr>
              <w:t>Shareholders will be sent a statement showing all their holdings in the Company as at 30 June and 31 December each year.</w:t>
            </w:r>
          </w:p>
        </w:tc>
        <w:tc>
          <w:tcPr>
            <w:tcW w:w="360" w:type="dxa"/>
            <w:shd w:val="clear" w:color="auto" w:fill="auto"/>
          </w:tcPr>
          <w:p w:rsidR="00A77B3E">
            <w:pPr>
              <w:pStyle w:val="mqspa"/>
              <w:jc w:val="left"/>
            </w:pPr>
            <w:r>
              <w:rPr>
                <w:noProof w:val="0"/>
              </w:rPr>
              <w:t>Los Accionistas recibirán una declaración que muestra todas sus participaciones en la Sociedad a 30 de junio y 31 de diciembre de cada año.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98</w:t>
              <w:br/>
            </w:r>
            <w:r>
              <w:rPr>
                <w:noProof/>
                <w:sz w:val="2"/>
              </w:rPr>
              <w:t>45e71fa2-d031-441c-94c4-0fc822b1fdff</w:t>
            </w:r>
          </w:p>
        </w:tc>
        <w:tc>
          <w:tcPr>
            <w:tcW w:w="360" w:type="dxa"/>
            <w:shd w:val="clear" w:color="auto" w:fill="F2F2F2"/>
          </w:tcPr>
          <w:p w:rsidR="00A77B3E">
            <w:pPr>
              <w:pStyle w:val="mqeng"/>
              <w:jc w:val="left"/>
            </w:pPr>
            <w:r>
              <w:rPr>
                <w:noProof/>
              </w:rPr>
              <w:t>In the future the Company may provide a facility for Shareholders to view details of their holdings remotely, through any other communication medium.</w:t>
            </w:r>
          </w:p>
        </w:tc>
        <w:tc>
          <w:tcPr>
            <w:tcW w:w="360" w:type="dxa"/>
            <w:shd w:val="clear" w:color="auto" w:fill="auto"/>
          </w:tcPr>
          <w:p w:rsidR="00A77B3E">
            <w:pPr>
              <w:pStyle w:val="mqspa"/>
              <w:jc w:val="left"/>
            </w:pPr>
            <w:r>
              <w:rPr>
                <w:noProof w:val="0"/>
              </w:rPr>
              <w:t>En el futuro, la Compañía podrá proporcionar una instalación para que los Accionistas vean detalles de sus participaciones de forma remota, a través de cualquier otro medio de comunicación.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99</w:t>
              <w:br/>
            </w:r>
            <w:r>
              <w:rPr>
                <w:noProof/>
                <w:sz w:val="2"/>
              </w:rPr>
              <w:t>95247c4d-8342-49b0-ba2e-0c4e1d61339d</w:t>
            </w:r>
          </w:p>
        </w:tc>
        <w:tc>
          <w:tcPr>
            <w:tcW w:w="360" w:type="dxa"/>
            <w:shd w:val="clear" w:color="auto" w:fill="F2F2F2"/>
          </w:tcPr>
          <w:p w:rsidR="00A77B3E">
            <w:pPr>
              <w:pStyle w:val="mqeng"/>
              <w:jc w:val="left"/>
            </w:pPr>
            <w:r>
              <w:rPr>
                <w:noProof/>
              </w:rPr>
              <w:t>The semi-annual reports and accounts of the Company will be available to Shareholders upon request within two months of 31 December in each year and the annual reports and accounts will be available within four months of 30 June in each year.</w:t>
            </w:r>
          </w:p>
        </w:tc>
        <w:tc>
          <w:tcPr>
            <w:tcW w:w="360" w:type="dxa"/>
            <w:shd w:val="clear" w:color="auto" w:fill="auto"/>
          </w:tcPr>
          <w:p w:rsidR="00A77B3E">
            <w:pPr>
              <w:pStyle w:val="mqspa"/>
              <w:jc w:val="left"/>
            </w:pPr>
            <w:r>
              <w:rPr>
                <w:noProof w:val="0"/>
              </w:rPr>
              <w:t>Los informes semestrales y las cuentas de la Sociedad estarán disponibles para los Accionistas a solicitud dentro de dos meses a partir del 31 de diciembre de cada año, y los informes anuales y las cuentas estarán disponibles dentro de cuatro meses a partir del 30 de junio de cada año.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100</w:t>
              <w:br/>
            </w:r>
            <w:r>
              <w:rPr>
                <w:noProof/>
                <w:sz w:val="2"/>
              </w:rPr>
              <w:t>9071a131-6438-4827-80e2-466e5387423f</w:t>
            </w:r>
          </w:p>
        </w:tc>
        <w:tc>
          <w:tcPr>
            <w:tcW w:w="360" w:type="dxa"/>
            <w:shd w:val="clear" w:color="auto" w:fill="F2F2F2"/>
          </w:tcPr>
          <w:p w:rsidR="00A77B3E">
            <w:pPr>
              <w:pStyle w:val="mqeng"/>
              <w:jc w:val="left"/>
            </w:pPr>
            <w:r>
              <w:rPr>
                <w:noProof/>
              </w:rPr>
              <w:t>Prices of the Shares (exclusive of any initial charge) are available on each Business Day at the registered office of the Company or from the registered offices of the Principal Distributors.</w:t>
            </w:r>
          </w:p>
        </w:tc>
        <w:tc>
          <w:tcPr>
            <w:tcW w:w="360" w:type="dxa"/>
            <w:shd w:val="clear" w:color="auto" w:fill="auto"/>
          </w:tcPr>
          <w:p w:rsidR="00A77B3E">
            <w:pPr>
              <w:pStyle w:val="mqspa"/>
              <w:jc w:val="left"/>
            </w:pPr>
            <w:r>
              <w:rPr>
                <w:noProof w:val="0"/>
              </w:rPr>
              <w:t>Los precios de las Acciones (excluyendo cualquier cargo inicial) están disponibles en cada Día Hábil en la oficina registrada de la Compañía o en las oficinas registradas de los Distribuidores Principales.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101</w:t>
              <w:br/>
            </w:r>
            <w:r>
              <w:rPr>
                <w:noProof/>
                <w:sz w:val="2"/>
              </w:rPr>
              <w:t>34cbd176-849f-47d2-9540-6a6a8f284869</w:t>
            </w:r>
          </w:p>
        </w:tc>
        <w:tc>
          <w:tcPr>
            <w:tcW w:w="360" w:type="dxa"/>
            <w:shd w:val="clear" w:color="auto" w:fill="F2F2F2"/>
          </w:tcPr>
          <w:p w:rsidR="00A77B3E">
            <w:pPr>
              <w:pStyle w:val="mqeng"/>
              <w:jc w:val="left"/>
            </w:pPr>
            <w:r>
              <w:rPr>
                <w:noProof/>
              </w:rPr>
              <w:t>The prices are available in the Base Currency of the relevant Fund.</w:t>
            </w:r>
          </w:p>
        </w:tc>
        <w:tc>
          <w:tcPr>
            <w:tcW w:w="360" w:type="dxa"/>
            <w:shd w:val="clear" w:color="auto" w:fill="auto"/>
          </w:tcPr>
          <w:p w:rsidR="00A77B3E">
            <w:pPr>
              <w:pStyle w:val="mqspa"/>
              <w:jc w:val="left"/>
            </w:pPr>
            <w:r>
              <w:rPr>
                <w:noProof w:val="0"/>
              </w:rPr>
              <w:t>Los precios están disponibles en la divisa base del Fondo correspondiente.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102</w:t>
              <w:br/>
            </w:r>
            <w:r>
              <w:rPr>
                <w:noProof/>
                <w:sz w:val="2"/>
              </w:rPr>
              <w:t>8fca33ce-7b41-4d2a-8d29-2e7bc3b1fefb</w:t>
            </w:r>
          </w:p>
        </w:tc>
        <w:tc>
          <w:tcPr>
            <w:tcW w:w="360" w:type="dxa"/>
            <w:shd w:val="clear" w:color="auto" w:fill="F2F2F2"/>
          </w:tcPr>
          <w:p w:rsidR="00A77B3E">
            <w:pPr>
              <w:pStyle w:val="mqeng"/>
              <w:jc w:val="left"/>
            </w:pPr>
            <w:r>
              <w:rPr>
                <w:noProof/>
              </w:rPr>
              <w:t>Shares may also be made available in Euro, Sterling, US Dollar, Singapore Dollars, Swiss Franc, Australian Dollar and Swedish Krona hedged versions or such other currencies as the Directors of the Company may determine from time to time (if these currencies are not the base currencies of the Funds concerned).</w:t>
            </w:r>
          </w:p>
        </w:tc>
        <w:tc>
          <w:tcPr>
            <w:tcW w:w="360" w:type="dxa"/>
            <w:shd w:val="clear" w:color="auto" w:fill="auto"/>
          </w:tcPr>
          <w:p w:rsidR="00A77B3E">
            <w:pPr>
              <w:pStyle w:val="mqspa"/>
              <w:jc w:val="left"/>
            </w:pPr>
            <w:r>
              <w:rPr>
                <w:noProof w:val="0"/>
              </w:rPr>
              <w:t>Las acciones también pueden estar disponibles en versiones cubiertas en EUR, libra esterlina, dólar estadounidense, dólares de Singapur, franco suizo, dólar australiano y corona sueca, o en otras divisas que los Directores de la Compañía puedan determinar de vez en cuando (si estas divisas no son las divisas base de los Fondos correspondientes).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103</w:t>
              <w:br/>
            </w:r>
            <w:r>
              <w:rPr>
                <w:noProof/>
                <w:sz w:val="2"/>
              </w:rPr>
              <w:t>1320e8b9-bdd1-4284-baef-bd9790c93271</w:t>
            </w:r>
          </w:p>
        </w:tc>
        <w:tc>
          <w:tcPr>
            <w:tcW w:w="360" w:type="dxa"/>
            <w:shd w:val="clear" w:color="auto" w:fill="F2F2F2"/>
          </w:tcPr>
          <w:p w:rsidR="00A77B3E">
            <w:pPr>
              <w:pStyle w:val="mqeng"/>
              <w:jc w:val="left"/>
            </w:pPr>
            <w:r>
              <w:rPr>
                <w:noProof/>
              </w:rPr>
              <w:t>The Hedged Share Class will similarly be offered at a price based on their net asset value plus, if applicable, an initial charge.</w:t>
            </w:r>
          </w:p>
        </w:tc>
        <w:tc>
          <w:tcPr>
            <w:tcW w:w="360" w:type="dxa"/>
            <w:shd w:val="clear" w:color="auto" w:fill="auto"/>
          </w:tcPr>
          <w:p w:rsidR="00A77B3E">
            <w:pPr>
              <w:pStyle w:val="mqspa"/>
              <w:jc w:val="left"/>
            </w:pPr>
            <w:r>
              <w:rPr>
                <w:noProof w:val="0"/>
              </w:rPr>
              <w:t>La Clase de acciones cubierta se ofrecerá de manera similar a un precio basado en su valor liquidativo más, si corresponde, una comisión inicial.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104</w:t>
              <w:br/>
            </w:r>
            <w:r>
              <w:rPr>
                <w:noProof/>
                <w:sz w:val="2"/>
              </w:rPr>
              <w:t>1e310613-cd10-427a-ae9e-47dffbef216e</w:t>
            </w:r>
          </w:p>
        </w:tc>
        <w:tc>
          <w:tcPr>
            <w:tcW w:w="360" w:type="dxa"/>
            <w:shd w:val="clear" w:color="auto" w:fill="F2F2F2"/>
          </w:tcPr>
          <w:p w:rsidR="00A77B3E">
            <w:pPr>
              <w:pStyle w:val="mqeng"/>
              <w:jc w:val="left"/>
            </w:pPr>
            <w:r>
              <w:rPr>
                <w:noProof/>
              </w:rPr>
              <w:t>An up-to-date list of the share classes available for the Funds (including hedging policy) can be obtained from the website www.janushenderson.com or from the registered office of the Company.</w:t>
            </w:r>
          </w:p>
        </w:tc>
        <w:tc>
          <w:tcPr>
            <w:tcW w:w="360" w:type="dxa"/>
            <w:shd w:val="clear" w:color="auto" w:fill="auto"/>
          </w:tcPr>
          <w:p w:rsidR="00A77B3E">
            <w:pPr>
              <w:pStyle w:val="mqspa"/>
              <w:jc w:val="left"/>
            </w:pPr>
            <w:r>
              <w:rPr>
                <w:noProof w:val="0"/>
              </w:rPr>
              <w:t>Un listado actualizado de las clases de acciones disponibles para los Fondos (incluida la política de cobertura) se puede obtener del sitio web www.janushenderson.com o del domicilio social de la Sociedad.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105</w:t>
              <w:br/>
            </w:r>
            <w:r>
              <w:rPr>
                <w:noProof/>
                <w:sz w:val="2"/>
              </w:rPr>
              <w:t>34eb4d9e-08e7-431f-b198-f21e7e71fcf4</w:t>
            </w:r>
          </w:p>
        </w:tc>
        <w:tc>
          <w:tcPr>
            <w:tcW w:w="360" w:type="dxa"/>
            <w:shd w:val="clear" w:color="auto" w:fill="F2F2F2"/>
          </w:tcPr>
          <w:p w:rsidR="00A77B3E">
            <w:pPr>
              <w:pStyle w:val="mqeng"/>
              <w:jc w:val="left"/>
            </w:pPr>
            <w:r>
              <w:rPr>
                <w:b/>
                <w:i w:val="0"/>
                <w:noProof/>
                <w:u w:val="none"/>
                <w:vertAlign w:val="baseline"/>
              </w:rPr>
              <w:t>Is it possible to switch an investment?</w:t>
            </w:r>
          </w:p>
        </w:tc>
        <w:tc>
          <w:tcPr>
            <w:tcW w:w="360" w:type="dxa"/>
            <w:shd w:val="clear" w:color="auto" w:fill="auto"/>
          </w:tcPr>
          <w:p w:rsidR="00A77B3E">
            <w:pPr>
              <w:pStyle w:val="mqspa"/>
              <w:jc w:val="left"/>
            </w:pPr>
            <w:r>
              <w:rPr>
                <w:b/>
                <w:i w:val="0"/>
                <w:noProof w:val="0"/>
                <w:u w:val="none"/>
                <w:vertAlign w:val="baseline"/>
              </w:rPr>
              <w:t>¿Es posible canjear una inversión?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106</w:t>
              <w:br/>
            </w:r>
            <w:r>
              <w:rPr>
                <w:noProof/>
                <w:sz w:val="2"/>
              </w:rPr>
              <w:t>1d7dad3a-cc52-4f79-8c19-6931dbd95f54</w:t>
            </w:r>
          </w:p>
        </w:tc>
        <w:tc>
          <w:tcPr>
            <w:tcW w:w="360" w:type="dxa"/>
            <w:shd w:val="clear" w:color="auto" w:fill="F2F2F2"/>
          </w:tcPr>
          <w:p w:rsidR="00A77B3E">
            <w:pPr>
              <w:pStyle w:val="mqeng"/>
              <w:jc w:val="left"/>
            </w:pPr>
            <w:r>
              <w:rPr>
                <w:noProof/>
              </w:rPr>
              <w:t>Shareholders may switch between Funds and, where applicable, between Classes of Shares (subject to applicable conditions set out in the section ‘Buying, Redeeming and Switching Shares’ of this Prospectus) by contacting the Registrar and Transfer Agent.</w:t>
            </w:r>
          </w:p>
        </w:tc>
        <w:tc>
          <w:tcPr>
            <w:tcW w:w="360" w:type="dxa"/>
            <w:shd w:val="clear" w:color="auto" w:fill="auto"/>
          </w:tcPr>
          <w:p w:rsidR="00A77B3E">
            <w:pPr>
              <w:pStyle w:val="mqspa"/>
              <w:jc w:val="left"/>
            </w:pPr>
            <w:r>
              <w:rPr>
                <w:noProof w:val="0"/>
              </w:rPr>
              <w:t>Los Accionistas pueden cambiar entre Fondos y, cuando sea aplicable, entre Clases de acciones (sujeto a las condiciones aplicables establecidas en el apartado «Compra, Reembolso y Canje de acciones» de este Prospecto) contactando al Agente de Registro y Transferencias.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107</w:t>
              <w:br/>
            </w:r>
            <w:r>
              <w:rPr>
                <w:noProof/>
                <w:sz w:val="2"/>
              </w:rPr>
              <w:t>49b1dd38-fc66-4e2b-869f-637c4f6535dd</w:t>
            </w:r>
          </w:p>
        </w:tc>
        <w:tc>
          <w:tcPr>
            <w:tcW w:w="360" w:type="dxa"/>
            <w:shd w:val="clear" w:color="auto" w:fill="F2F2F2"/>
          </w:tcPr>
          <w:p w:rsidR="00A77B3E">
            <w:pPr>
              <w:pStyle w:val="mqeng"/>
              <w:jc w:val="left"/>
            </w:pPr>
            <w:r>
              <w:rPr>
                <w:noProof/>
              </w:rPr>
              <w:t>Applications to switch may also in certain circumstances be made through Authorised Distributors in the countries in which Shares are offered and sold.</w:t>
            </w:r>
          </w:p>
        </w:tc>
        <w:tc>
          <w:tcPr>
            <w:tcW w:w="360" w:type="dxa"/>
            <w:shd w:val="clear" w:color="auto" w:fill="auto"/>
          </w:tcPr>
          <w:p w:rsidR="00A77B3E">
            <w:pPr>
              <w:pStyle w:val="mqspa"/>
              <w:jc w:val="left"/>
            </w:pPr>
            <w:r>
              <w:rPr>
                <w:noProof w:val="0"/>
              </w:rPr>
              <w:t>Las solicitudes de canje también pueden, en ciertas circunstancias, realizarse a través de Entidades autorizadas en los países en los que se ofrecen y venden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108</w:t>
              <w:br/>
            </w:r>
            <w:r>
              <w:rPr>
                <w:noProof/>
                <w:sz w:val="2"/>
              </w:rPr>
              <w:t>116d166d-893c-406b-8496-9ea395223c98</w:t>
            </w:r>
          </w:p>
        </w:tc>
        <w:tc>
          <w:tcPr>
            <w:tcW w:w="360" w:type="dxa"/>
            <w:shd w:val="clear" w:color="auto" w:fill="F2F2F2"/>
          </w:tcPr>
          <w:p w:rsidR="00A77B3E">
            <w:pPr>
              <w:pStyle w:val="mqeng"/>
              <w:jc w:val="left"/>
            </w:pPr>
            <w:r>
              <w:rPr>
                <w:noProof/>
              </w:rPr>
              <w:t>A charge of up to 1% of the gross amount being switched may be made.</w:t>
            </w:r>
          </w:p>
        </w:tc>
        <w:tc>
          <w:tcPr>
            <w:tcW w:w="360" w:type="dxa"/>
            <w:shd w:val="clear" w:color="auto" w:fill="auto"/>
          </w:tcPr>
          <w:p w:rsidR="00A77B3E">
            <w:pPr>
              <w:pStyle w:val="mqspa"/>
              <w:jc w:val="left"/>
            </w:pPr>
            <w:r>
              <w:rPr>
                <w:noProof w:val="0"/>
              </w:rPr>
              <w:t>Se puede aplicar un cargo de hasta el 1% del monto bruto que se esté transfiriendo.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109</w:t>
              <w:br/>
            </w:r>
            <w:r>
              <w:rPr>
                <w:noProof/>
                <w:sz w:val="2"/>
              </w:rPr>
              <w:t>585a151c-4614-4c7f-98a8-0727373c0a63</w:t>
            </w:r>
          </w:p>
        </w:tc>
        <w:tc>
          <w:tcPr>
            <w:tcW w:w="360" w:type="dxa"/>
            <w:shd w:val="clear" w:color="auto" w:fill="F2F2F2"/>
          </w:tcPr>
          <w:p w:rsidR="00A77B3E">
            <w:pPr>
              <w:pStyle w:val="mqeng"/>
              <w:jc w:val="left"/>
            </w:pPr>
            <w:r>
              <w:rPr>
                <w:noProof/>
              </w:rPr>
              <w:t>An investor wishing to switch an investment, should refer to the ‘How to Switch paragraph’ under the section ‘Buying, Redeeming and Switching Shares’ of this Prospectus.</w:t>
            </w:r>
          </w:p>
        </w:tc>
        <w:tc>
          <w:tcPr>
            <w:tcW w:w="360" w:type="dxa"/>
            <w:shd w:val="clear" w:color="auto" w:fill="auto"/>
          </w:tcPr>
          <w:p w:rsidR="00A77B3E">
            <w:pPr>
              <w:pStyle w:val="mqspa"/>
              <w:jc w:val="left"/>
            </w:pPr>
            <w:r>
              <w:rPr>
                <w:noProof w:val="0"/>
              </w:rPr>
              <w:t>Un inversor que desee canjear una inversión, debe consultar el ‘Cómo canjear su párrafo’ en la sección ‘Compra, Reembolso y Canje de acciones’ de este Folleto.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110</w:t>
              <w:br/>
            </w:r>
            <w:r>
              <w:rPr>
                <w:noProof/>
                <w:sz w:val="2"/>
              </w:rPr>
              <w:t>0f8277c7-0c24-4dd0-8de0-8abce7f1502b</w:t>
            </w:r>
          </w:p>
        </w:tc>
        <w:tc>
          <w:tcPr>
            <w:tcW w:w="360" w:type="dxa"/>
            <w:shd w:val="clear" w:color="auto" w:fill="F2F2F2"/>
          </w:tcPr>
          <w:p w:rsidR="00A77B3E">
            <w:pPr>
              <w:pStyle w:val="mqeng"/>
              <w:jc w:val="left"/>
            </w:pPr>
            <w:r>
              <w:rPr>
                <w:b/>
                <w:i w:val="0"/>
                <w:noProof/>
                <w:u w:val="none"/>
                <w:vertAlign w:val="baseline"/>
              </w:rPr>
              <w:t>How do Shareholders redeem their Shares?</w:t>
            </w:r>
          </w:p>
        </w:tc>
        <w:tc>
          <w:tcPr>
            <w:tcW w:w="360" w:type="dxa"/>
            <w:shd w:val="clear" w:color="auto" w:fill="auto"/>
          </w:tcPr>
          <w:p w:rsidR="00A77B3E">
            <w:pPr>
              <w:pStyle w:val="mqspa"/>
              <w:jc w:val="left"/>
            </w:pPr>
            <w:r>
              <w:rPr>
                <w:b/>
                <w:i w:val="0"/>
                <w:noProof w:val="0"/>
                <w:u w:val="none"/>
                <w:vertAlign w:val="baseline"/>
              </w:rPr>
              <w:t>¿cómo canjean los Accionistas sus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111</w:t>
              <w:br/>
            </w:r>
            <w:r>
              <w:rPr>
                <w:noProof/>
                <w:sz w:val="2"/>
              </w:rPr>
              <w:t>198f853a-bf11-48f3-88b3-567fcecf366a</w:t>
            </w:r>
          </w:p>
        </w:tc>
        <w:tc>
          <w:tcPr>
            <w:tcW w:w="360" w:type="dxa"/>
            <w:shd w:val="clear" w:color="auto" w:fill="F2F2F2"/>
          </w:tcPr>
          <w:p w:rsidR="00A77B3E">
            <w:pPr>
              <w:pStyle w:val="mqeng"/>
              <w:jc w:val="left"/>
            </w:pPr>
            <w:r>
              <w:rPr>
                <w:noProof/>
              </w:rPr>
              <w:t xml:space="preserve">Shareholders may redeem their Shares by </w:t>
            </w:r>
            <w:r>
              <w:rPr>
                <w:rStyle w:val="mqInternal"/>
                <w:b w:val="0"/>
                <w:i w:val="0"/>
                <w:noProof/>
                <w:u w:val="none"/>
                <w:vertAlign w:val="baseline"/>
              </w:rPr>
              <w:t>[1}</w:t>
            </w:r>
            <w:r>
              <w:rPr>
                <w:noProof/>
              </w:rPr>
              <w:t>post or facsimile or through other electronic means of communication (subject to the acceptance by the Shareholder of any electronic delivery terms imposed by the Fund and/or the Registrar and Transfer Agent) to the appropriate Distributor or to the Registrar and Transfer Agent</w:t>
            </w:r>
            <w:r>
              <w:rPr>
                <w:rStyle w:val="mqInternal"/>
                <w:b w:val="0"/>
                <w:i w:val="0"/>
                <w:noProof/>
                <w:u w:val="none"/>
                <w:vertAlign w:val="baseline"/>
              </w:rPr>
              <w:t>{2]</w:t>
            </w:r>
            <w:r>
              <w:rPr>
                <w:noProof/>
              </w:rPr>
              <w:t xml:space="preserve"> on any Dealing Day.</w:t>
            </w:r>
          </w:p>
        </w:tc>
        <w:tc>
          <w:tcPr>
            <w:tcW w:w="360" w:type="dxa"/>
            <w:shd w:val="clear" w:color="auto" w:fill="auto"/>
          </w:tcPr>
          <w:p w:rsidR="00A77B3E">
            <w:pPr>
              <w:pStyle w:val="mqspa"/>
              <w:jc w:val="left"/>
            </w:pPr>
            <w:r>
              <w:rPr>
                <w:noProof w:val="0"/>
              </w:rPr>
              <w:t xml:space="preserve">Los Accionistas pueden canjear sus Acciones por </w:t>
            </w:r>
            <w:r>
              <w:rPr>
                <w:rStyle w:val="mqInternal"/>
                <w:b w:val="0"/>
                <w:i w:val="0"/>
                <w:noProof/>
                <w:u w:val="none"/>
                <w:vertAlign w:val="baseline"/>
              </w:rPr>
              <w:t>[1}</w:t>
            </w:r>
            <w:r>
              <w:rPr>
                <w:noProof w:val="0"/>
              </w:rPr>
              <w:t>correo o fax o a través de otros medios de comunicación electrónicos (sujeto a la aceptación por parte del Accionista de los términos de entrega electrónica impuestos por el Fondo y/o el Agente de Registro y Transferencias) al Distribuidor correspondiente o al Agente de Registro y Transferencias</w:t>
            </w:r>
            <w:r>
              <w:rPr>
                <w:rStyle w:val="mqInternal"/>
                <w:b w:val="0"/>
                <w:i w:val="0"/>
                <w:noProof/>
                <w:u w:val="none"/>
                <w:vertAlign w:val="baseline"/>
              </w:rPr>
              <w:t>{2]</w:t>
            </w:r>
            <w:r>
              <w:rPr>
                <w:noProof w:val="0"/>
              </w:rPr>
              <w:t xml:space="preserve"> en cualquier Día de negociación.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112</w:t>
              <w:br/>
            </w:r>
            <w:r>
              <w:rPr>
                <w:noProof/>
                <w:sz w:val="2"/>
              </w:rPr>
              <w:t>07517fdb-303e-44a1-bf6c-f04bc2ec53d7</w:t>
            </w:r>
          </w:p>
        </w:tc>
        <w:tc>
          <w:tcPr>
            <w:tcW w:w="360" w:type="dxa"/>
            <w:shd w:val="clear" w:color="auto" w:fill="F2F2F2"/>
          </w:tcPr>
          <w:p w:rsidR="00A77B3E">
            <w:pPr>
              <w:pStyle w:val="mqeng"/>
              <w:jc w:val="left"/>
            </w:pPr>
            <w:r>
              <w:rPr>
                <w:noProof/>
              </w:rPr>
              <w:t>Account Numbers should be quoted in all communications.</w:t>
            </w:r>
          </w:p>
        </w:tc>
        <w:tc>
          <w:tcPr>
            <w:tcW w:w="360" w:type="dxa"/>
            <w:shd w:val="clear" w:color="auto" w:fill="auto"/>
          </w:tcPr>
          <w:p w:rsidR="00A77B3E">
            <w:pPr>
              <w:pStyle w:val="mqspa"/>
              <w:jc w:val="left"/>
            </w:pPr>
            <w:r>
              <w:rPr>
                <w:noProof w:val="0"/>
              </w:rPr>
              <w:t>Los números de cuenta deben ser citados en todas las comunicaciones.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113</w:t>
              <w:br/>
            </w:r>
            <w:r>
              <w:rPr>
                <w:noProof/>
                <w:sz w:val="2"/>
              </w:rPr>
              <w:t>4cafeab4-cd83-45fb-86a9-0df45c166a56</w:t>
            </w:r>
          </w:p>
        </w:tc>
        <w:tc>
          <w:tcPr>
            <w:tcW w:w="360" w:type="dxa"/>
            <w:shd w:val="clear" w:color="auto" w:fill="F2F2F2"/>
          </w:tcPr>
          <w:p w:rsidR="00A77B3E">
            <w:pPr>
              <w:pStyle w:val="mqeng"/>
              <w:jc w:val="left"/>
            </w:pPr>
            <w:r>
              <w:rPr>
                <w:noProof/>
              </w:rPr>
              <w:t>Proceeds from the redemption will be released only on receipt of a written confirmation and on the provision that all AML documents have been duly received.</w:t>
            </w:r>
          </w:p>
        </w:tc>
        <w:tc>
          <w:tcPr>
            <w:tcW w:w="360" w:type="dxa"/>
            <w:shd w:val="clear" w:color="auto" w:fill="auto"/>
          </w:tcPr>
          <w:p w:rsidR="00A77B3E">
            <w:pPr>
              <w:pStyle w:val="mqspa"/>
              <w:jc w:val="left"/>
            </w:pPr>
            <w:r>
              <w:rPr>
                <w:noProof w:val="0"/>
              </w:rPr>
              <w:t>Los ingresos de la redención se liberarán únicamente al recibir una confirmación por escrito y bajo la condición de que todos los documentos de AML hayan sido debidamente recibidos.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114</w:t>
              <w:br/>
            </w:r>
            <w:r>
              <w:rPr>
                <w:noProof/>
                <w:sz w:val="2"/>
              </w:rPr>
              <w:t>5e01c5a5-9733-4246-a782-fe9e461a6a46</w:t>
            </w:r>
          </w:p>
        </w:tc>
        <w:tc>
          <w:tcPr>
            <w:tcW w:w="360" w:type="dxa"/>
            <w:shd w:val="clear" w:color="auto" w:fill="F2F2F2"/>
          </w:tcPr>
          <w:p w:rsidR="00A77B3E">
            <w:pPr>
              <w:pStyle w:val="mqeng"/>
              <w:jc w:val="left"/>
            </w:pPr>
            <w:r>
              <w:rPr>
                <w:noProof/>
              </w:rPr>
              <w:t>Applications for redemption of Shares may also be made through the Authorised Distributors in the countries in which its Shares are offered and sold.</w:t>
            </w:r>
          </w:p>
        </w:tc>
        <w:tc>
          <w:tcPr>
            <w:tcW w:w="360" w:type="dxa"/>
            <w:shd w:val="clear" w:color="auto" w:fill="auto"/>
          </w:tcPr>
          <w:p w:rsidR="00A77B3E">
            <w:pPr>
              <w:pStyle w:val="mqspa"/>
              <w:jc w:val="left"/>
            </w:pPr>
            <w:r>
              <w:rPr>
                <w:noProof w:val="0"/>
              </w:rPr>
              <w:t>Las solicitudes de reembolso de Acciones también pueden realizarse a través de las Entidades autorizadas en los países en los que se ofrecen y venden sus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115</w:t>
              <w:br/>
            </w:r>
            <w:r>
              <w:rPr>
                <w:noProof/>
                <w:sz w:val="2"/>
              </w:rPr>
              <w:t>b399de0b-0902-446d-a59e-a9b689322f80</w:t>
            </w:r>
          </w:p>
        </w:tc>
        <w:tc>
          <w:tcPr>
            <w:tcW w:w="360" w:type="dxa"/>
            <w:shd w:val="clear" w:color="auto" w:fill="F2F2F2"/>
          </w:tcPr>
          <w:p w:rsidR="00A77B3E">
            <w:pPr>
              <w:pStyle w:val="mqeng"/>
              <w:jc w:val="left"/>
            </w:pPr>
            <w:r>
              <w:rPr>
                <w:noProof/>
              </w:rPr>
              <w:t>In the future the Company may allow redemptions to be effected through or by any other communication medium.</w:t>
            </w:r>
          </w:p>
        </w:tc>
        <w:tc>
          <w:tcPr>
            <w:tcW w:w="360" w:type="dxa"/>
            <w:shd w:val="clear" w:color="auto" w:fill="auto"/>
          </w:tcPr>
          <w:p w:rsidR="00A77B3E">
            <w:pPr>
              <w:pStyle w:val="mqspa"/>
              <w:jc w:val="left"/>
            </w:pPr>
            <w:r>
              <w:rPr>
                <w:noProof w:val="0"/>
              </w:rPr>
              <w:t>En el futuro la Compañía puede permitir que los reembolsos se realicen a través de cualquier otro comunicación medio.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116</w:t>
              <w:br/>
            </w:r>
            <w:r>
              <w:rPr>
                <w:noProof/>
                <w:sz w:val="2"/>
              </w:rPr>
              <w:t>e9baa269-a8f4-45ea-a992-88840d0b4cc8</w:t>
            </w:r>
          </w:p>
        </w:tc>
        <w:tc>
          <w:tcPr>
            <w:tcW w:w="360" w:type="dxa"/>
            <w:shd w:val="clear" w:color="auto" w:fill="F2F2F2"/>
          </w:tcPr>
          <w:p w:rsidR="00A77B3E">
            <w:pPr>
              <w:pStyle w:val="mqeng"/>
              <w:jc w:val="left"/>
            </w:pPr>
            <w:r>
              <w:rPr>
                <w:b/>
                <w:i w:val="0"/>
                <w:noProof/>
                <w:u w:val="none"/>
                <w:vertAlign w:val="baseline"/>
              </w:rPr>
              <w:t>How will charges and expenses affect Shareholders’ investments?</w:t>
            </w:r>
          </w:p>
        </w:tc>
        <w:tc>
          <w:tcPr>
            <w:tcW w:w="360" w:type="dxa"/>
            <w:shd w:val="clear" w:color="auto" w:fill="auto"/>
          </w:tcPr>
          <w:p w:rsidR="00A77B3E">
            <w:pPr>
              <w:pStyle w:val="mqspa"/>
              <w:jc w:val="left"/>
            </w:pPr>
            <w:r>
              <w:rPr>
                <w:b/>
                <w:i w:val="0"/>
                <w:noProof w:val="0"/>
                <w:u w:val="none"/>
                <w:vertAlign w:val="baseline"/>
              </w:rPr>
              <w:t>¿Cómo afectarán las comisiones y los gastos a las inversiones de los Accionistas?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117</w:t>
              <w:br/>
            </w:r>
            <w:r>
              <w:rPr>
                <w:noProof/>
                <w:sz w:val="2"/>
              </w:rPr>
              <w:t>7fed857a-d11b-4fcc-a9b5-51e4bd36d083</w:t>
            </w:r>
          </w:p>
        </w:tc>
        <w:tc>
          <w:tcPr>
            <w:tcW w:w="360" w:type="dxa"/>
            <w:shd w:val="clear" w:color="auto" w:fill="F2F2F2"/>
          </w:tcPr>
          <w:p w:rsidR="00A77B3E">
            <w:pPr>
              <w:pStyle w:val="mqeng"/>
              <w:jc w:val="left"/>
            </w:pPr>
            <w:r>
              <w:rPr>
                <w:noProof/>
              </w:rPr>
              <w:t>The buying price and the selling price of a Share will be based on the net asset value and, in addition, applicable charges and a dilution adjustment, if applicable, may be levied.</w:t>
            </w:r>
          </w:p>
        </w:tc>
        <w:tc>
          <w:tcPr>
            <w:tcW w:w="360" w:type="dxa"/>
            <w:shd w:val="clear" w:color="auto" w:fill="auto"/>
          </w:tcPr>
          <w:p w:rsidR="00A77B3E">
            <w:pPr>
              <w:pStyle w:val="mqspa"/>
              <w:jc w:val="left"/>
            </w:pPr>
            <w:r>
              <w:rPr>
                <w:noProof w:val="0"/>
              </w:rPr>
              <w:t>El precio de compra y el precio de venta de una Acción se basarán en el valor liquidativo y, además, se podrán aplicar gastos aplicables y un ajuste por dilución, si corresponde.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118</w:t>
              <w:br/>
            </w:r>
            <w:r>
              <w:rPr>
                <w:noProof/>
                <w:sz w:val="2"/>
              </w:rPr>
              <w:t>8a6274a8-3b58-46e9-8410-2e5e37bc2659</w:t>
            </w:r>
          </w:p>
        </w:tc>
        <w:tc>
          <w:tcPr>
            <w:tcW w:w="360" w:type="dxa"/>
            <w:shd w:val="clear" w:color="auto" w:fill="F2F2F2"/>
          </w:tcPr>
          <w:p w:rsidR="00A77B3E">
            <w:pPr>
              <w:pStyle w:val="mqeng"/>
              <w:jc w:val="left"/>
            </w:pPr>
            <w:r>
              <w:rPr>
                <w:noProof/>
              </w:rPr>
              <w:t>A dilution adjustment may be reflected in the buying price and the selling price of a Share for such sum as may represent the percentage estimate of costs and expenses which may be incurred by the relevant Fund under certain conditions.</w:t>
            </w:r>
          </w:p>
        </w:tc>
        <w:tc>
          <w:tcPr>
            <w:tcW w:w="360" w:type="dxa"/>
            <w:shd w:val="clear" w:color="auto" w:fill="auto"/>
          </w:tcPr>
          <w:p w:rsidR="00A77B3E">
            <w:pPr>
              <w:pStyle w:val="mqspa"/>
              <w:jc w:val="left"/>
            </w:pPr>
            <w:r>
              <w:rPr>
                <w:noProof w:val="0"/>
              </w:rPr>
              <w:t>Un ajuste por dilución puede reflejarse en el precio de compra y el precio de venta de una Acción por una suma que pueda representar el porcentaje estimado de gastos y comisiones que puedan incurrir el Fondo correspondiente bajo determinadas condiciones.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119</w:t>
              <w:br/>
            </w:r>
            <w:r>
              <w:rPr>
                <w:noProof/>
                <w:sz w:val="2"/>
              </w:rPr>
              <w:t>60939648-c4c2-4eed-b84c-146d67016555</w:t>
            </w:r>
          </w:p>
        </w:tc>
        <w:tc>
          <w:tcPr>
            <w:tcW w:w="360" w:type="dxa"/>
            <w:shd w:val="clear" w:color="auto" w:fill="F2F2F2"/>
          </w:tcPr>
          <w:p w:rsidR="00A77B3E">
            <w:pPr>
              <w:pStyle w:val="mqeng"/>
              <w:jc w:val="left"/>
            </w:pPr>
            <w:r>
              <w:rPr>
                <w:noProof/>
              </w:rPr>
              <w:t>Please refer to the ‘Swing Pricing’ paragraph under the section ‘Buying, Redeeming and Switching Shares’ of this Prospectus for further information.</w:t>
            </w:r>
          </w:p>
        </w:tc>
        <w:tc>
          <w:tcPr>
            <w:tcW w:w="360" w:type="dxa"/>
            <w:shd w:val="clear" w:color="auto" w:fill="auto"/>
          </w:tcPr>
          <w:p w:rsidR="00A77B3E">
            <w:pPr>
              <w:pStyle w:val="mqspa"/>
              <w:jc w:val="left"/>
            </w:pPr>
            <w:r>
              <w:rPr>
                <w:noProof w:val="0"/>
              </w:rPr>
              <w:t>Por favor, consulte el párrafo ‘Sistema de precio oscilante (swing pricing)’ en la sección ‘Compra, reembolso y canje de acciones’ de este Folleto informativo para más información.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120</w:t>
              <w:br/>
            </w:r>
            <w:r>
              <w:rPr>
                <w:noProof/>
                <w:sz w:val="2"/>
              </w:rPr>
              <w:t>bae16d5c-db8e-41ea-a2ec-1166c7444dca</w:t>
            </w:r>
          </w:p>
        </w:tc>
        <w:tc>
          <w:tcPr>
            <w:tcW w:w="360" w:type="dxa"/>
            <w:shd w:val="clear" w:color="auto" w:fill="F2F2F2"/>
          </w:tcPr>
          <w:p w:rsidR="00A77B3E">
            <w:pPr>
              <w:pStyle w:val="mqeng"/>
              <w:jc w:val="left"/>
            </w:pPr>
            <w:r>
              <w:rPr>
                <w:rStyle w:val="mqInternal"/>
                <w:b w:val="0"/>
                <w:i w:val="0"/>
                <w:noProof/>
                <w:u w:val="none"/>
                <w:vertAlign w:val="baseline"/>
              </w:rPr>
              <w:t>[1}</w:t>
            </w:r>
            <w:r>
              <w:rPr>
                <w:noProof/>
              </w:rPr>
              <w:t xml:space="preserve">A Principal Distributor is entitled to receive an initial charge which, unless otherwise notified, will not exceed 5% of the total amount invested by an investor (which equals a maximum of 5.26% of the net asset value of the Shares) on the issue of Class A, Class AB, Class F, Class H, Class HB, Class R, </w:t>
            </w:r>
            <w:r>
              <w:rPr>
                <w:rStyle w:val="mqInternal"/>
                <w:b w:val="0"/>
                <w:i w:val="0"/>
                <w:noProof/>
                <w:u w:val="none"/>
                <w:vertAlign w:val="baseline"/>
              </w:rPr>
              <w:t>{2]</w:t>
            </w:r>
            <w:r>
              <w:rPr>
                <w:rStyle w:val="mqInternal"/>
                <w:b w:val="0"/>
                <w:i w:val="0"/>
                <w:noProof/>
                <w:u w:val="none"/>
                <w:vertAlign w:val="baseline"/>
              </w:rPr>
              <w:t>[3}</w:t>
            </w:r>
            <w:r>
              <w:rPr>
                <w:noProof/>
              </w:rPr>
              <w:t xml:space="preserve">Class Q, </w:t>
            </w:r>
            <w:r>
              <w:rPr>
                <w:rStyle w:val="mqInternal"/>
                <w:b w:val="0"/>
                <w:i w:val="0"/>
                <w:noProof/>
                <w:u w:val="none"/>
                <w:vertAlign w:val="baseline"/>
              </w:rPr>
              <w:t>{4]</w:t>
            </w:r>
            <w:r>
              <w:rPr>
                <w:rStyle w:val="mqInternal"/>
                <w:b w:val="0"/>
                <w:i w:val="0"/>
                <w:noProof/>
                <w:u w:val="none"/>
                <w:vertAlign w:val="baseline"/>
              </w:rPr>
              <w:t>[5}</w:t>
            </w:r>
            <w:r>
              <w:rPr>
                <w:noProof/>
              </w:rPr>
              <w:t xml:space="preserve">Class S, Class SA, </w:t>
            </w:r>
            <w:r>
              <w:rPr>
                <w:rStyle w:val="mqInternal"/>
                <w:b w:val="0"/>
                <w:i w:val="0"/>
                <w:noProof/>
                <w:u w:val="none"/>
                <w:vertAlign w:val="baseline"/>
              </w:rPr>
              <w:t>{6]</w:t>
            </w:r>
            <w:r>
              <w:rPr>
                <w:rStyle w:val="mqInternal"/>
                <w:b w:val="0"/>
                <w:i w:val="0"/>
                <w:noProof/>
                <w:u w:val="none"/>
                <w:vertAlign w:val="baseline"/>
              </w:rPr>
              <w:t>[7}</w:t>
            </w:r>
            <w:r>
              <w:rPr>
                <w:noProof/>
              </w:rPr>
              <w:t>Class SB and Class X Shares for all Funds and Class B, Class C, Class E, Class G, Class GU, Class I, Class IB, Class IF, Class IU and Class M Shares for the below Funds:</w:t>
            </w:r>
            <w:r>
              <w:rPr>
                <w:rStyle w:val="mqInternal"/>
                <w:b w:val="0"/>
                <w:i w:val="0"/>
                <w:noProof/>
                <w:u w:val="none"/>
                <w:vertAlign w:val="baseline"/>
              </w:rPr>
              <w:t>{8]</w:t>
            </w:r>
          </w:p>
        </w:tc>
        <w:tc>
          <w:tcPr>
            <w:tcW w:w="360" w:type="dxa"/>
            <w:shd w:val="clear" w:color="auto" w:fill="auto"/>
          </w:tcPr>
          <w:p w:rsidR="00A77B3E">
            <w:pPr>
              <w:pStyle w:val="mqspa"/>
              <w:jc w:val="left"/>
            </w:pPr>
            <w:r>
              <w:rPr>
                <w:rStyle w:val="mqInternal"/>
                <w:b w:val="0"/>
                <w:i w:val="0"/>
                <w:noProof/>
                <w:u w:val="none"/>
                <w:vertAlign w:val="baseline"/>
              </w:rPr>
              <w:t>[1}</w:t>
            </w:r>
            <w:r>
              <w:rPr>
                <w:noProof w:val="0"/>
              </w:rPr>
              <w:t>Una Entidad Comercializadora principal tiene derecho a recibir una comisión inicial que, a menos que se notifique lo contrario, no excederá el 5% del importe total invertido por un inversor (lo que equivale a un máximo del 5,26% del valor liquidativo de las Acciones) en la emisión de Acciones de Clase A, Clase AB, Clase F, Clase H, Clase HB,</w:t>
            </w:r>
            <w:r>
              <w:rPr>
                <w:rStyle w:val="mqInternal"/>
                <w:b w:val="0"/>
                <w:i w:val="0"/>
                <w:noProof/>
                <w:u w:val="none"/>
                <w:vertAlign w:val="baseline"/>
              </w:rPr>
              <w:t>[3}</w:t>
            </w:r>
            <w:r>
              <w:rPr>
                <w:noProof w:val="0"/>
              </w:rPr>
              <w:t xml:space="preserve">Clase R, </w:t>
            </w:r>
            <w:r>
              <w:rPr>
                <w:rStyle w:val="mqInternal"/>
                <w:b w:val="0"/>
                <w:i w:val="0"/>
                <w:noProof/>
                <w:u w:val="none"/>
                <w:vertAlign w:val="baseline"/>
              </w:rPr>
              <w:t>{4]</w:t>
            </w:r>
            <w:r>
              <w:rPr>
                <w:noProof w:val="0"/>
              </w:rPr>
              <w:t xml:space="preserve">Clase Q, </w:t>
            </w:r>
            <w:r>
              <w:rPr>
                <w:rStyle w:val="mqInternal"/>
                <w:b w:val="0"/>
                <w:i w:val="0"/>
                <w:noProof/>
                <w:u w:val="none"/>
                <w:vertAlign w:val="baseline"/>
              </w:rPr>
              <w:t>{2]</w:t>
            </w:r>
            <w:r>
              <w:rPr>
                <w:rStyle w:val="mqInternal"/>
                <w:b w:val="0"/>
                <w:i w:val="0"/>
                <w:noProof/>
                <w:u w:val="none"/>
                <w:vertAlign w:val="baseline"/>
              </w:rPr>
              <w:t>[5}</w:t>
            </w:r>
            <w:r>
              <w:rPr>
                <w:noProof w:val="0"/>
              </w:rPr>
              <w:t xml:space="preserve">Clase S, Clase SA, </w:t>
            </w:r>
            <w:r>
              <w:rPr>
                <w:rStyle w:val="mqInternal"/>
                <w:b w:val="0"/>
                <w:i w:val="0"/>
                <w:noProof/>
                <w:u w:val="none"/>
                <w:vertAlign w:val="baseline"/>
              </w:rPr>
              <w:t>{6]</w:t>
            </w:r>
            <w:r>
              <w:rPr>
                <w:rStyle w:val="mqInternal"/>
                <w:b w:val="0"/>
                <w:i w:val="0"/>
                <w:noProof/>
                <w:u w:val="none"/>
                <w:vertAlign w:val="baseline"/>
              </w:rPr>
              <w:t>[7}</w:t>
            </w:r>
            <w:r>
              <w:rPr>
                <w:noProof w:val="0"/>
              </w:rPr>
              <w:t>Clase SB y Clase X para todos los Fondos y Acciones de Clase B, Clase C, Clase E, Clase G, Clase GU, Clase I, Clase IB, Clase IF, Clase IU y Clase M para los Fondos a continuación:</w:t>
            </w:r>
            <w:r>
              <w:rPr>
                <w:rStyle w:val="mqInternal"/>
                <w:b w:val="0"/>
                <w:i w:val="0"/>
                <w:noProof/>
                <w:u w:val="none"/>
                <w:vertAlign w:val="baseline"/>
              </w:rPr>
              <w:t>{8]</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121</w:t>
              <w:br/>
            </w:r>
            <w:r>
              <w:rPr>
                <w:noProof/>
                <w:sz w:val="2"/>
              </w:rPr>
              <w:t>80ee0136-d165-4dc7-a715-b42555b185ab</w:t>
            </w:r>
          </w:p>
        </w:tc>
        <w:tc>
          <w:tcPr>
            <w:tcW w:w="360" w:type="dxa"/>
            <w:shd w:val="clear" w:color="auto" w:fill="F2F2F2"/>
          </w:tcPr>
          <w:p w:rsidR="00A77B3E">
            <w:pPr>
              <w:pStyle w:val="mqeng"/>
              <w:jc w:val="left"/>
            </w:pPr>
            <w:r>
              <w:rPr>
                <w:noProof/>
              </w:rPr>
              <w:t>Asia-Pacific Property Income Fund</w:t>
            </w:r>
          </w:p>
        </w:tc>
        <w:tc>
          <w:tcPr>
            <w:tcW w:w="360" w:type="dxa"/>
            <w:shd w:val="clear" w:color="auto" w:fill="auto"/>
          </w:tcPr>
          <w:p w:rsidR="00A77B3E">
            <w:pPr>
              <w:pStyle w:val="mqspa"/>
              <w:jc w:val="left"/>
            </w:pPr>
            <w:r>
              <w:rPr>
                <w:noProof w:val="0"/>
              </w:rPr>
              <w:t>Asia-Pacific Property Income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122</w:t>
              <w:br/>
            </w:r>
            <w:r>
              <w:rPr>
                <w:noProof/>
                <w:sz w:val="2"/>
              </w:rPr>
              <w:t>d8b9de92-ac76-49b7-bb00-9c58e3438877</w:t>
            </w:r>
          </w:p>
        </w:tc>
        <w:tc>
          <w:tcPr>
            <w:tcW w:w="360" w:type="dxa"/>
            <w:shd w:val="clear" w:color="auto" w:fill="F2F2F2"/>
          </w:tcPr>
          <w:p w:rsidR="00A77B3E">
            <w:pPr>
              <w:pStyle w:val="mqeng"/>
              <w:jc w:val="left"/>
            </w:pPr>
            <w:r>
              <w:rPr>
                <w:noProof/>
              </w:rPr>
              <w:t>Biotechnology Fund</w:t>
            </w:r>
          </w:p>
        </w:tc>
        <w:tc>
          <w:tcPr>
            <w:tcW w:w="360" w:type="dxa"/>
            <w:shd w:val="clear" w:color="auto" w:fill="auto"/>
          </w:tcPr>
          <w:p w:rsidR="00A77B3E">
            <w:pPr>
              <w:pStyle w:val="mqspa"/>
              <w:jc w:val="left"/>
            </w:pPr>
            <w:r>
              <w:rPr>
                <w:noProof w:val="0"/>
              </w:rPr>
              <w:t>Biotechnology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123</w:t>
              <w:br/>
            </w:r>
            <w:r>
              <w:rPr>
                <w:noProof/>
                <w:sz w:val="2"/>
              </w:rPr>
              <w:t>d3eb1be2-8a10-46d1-9da3-28e60108668b</w:t>
            </w:r>
          </w:p>
        </w:tc>
        <w:tc>
          <w:tcPr>
            <w:tcW w:w="360" w:type="dxa"/>
            <w:shd w:val="clear" w:color="auto" w:fill="F2F2F2"/>
          </w:tcPr>
          <w:p w:rsidR="00A77B3E">
            <w:pPr>
              <w:pStyle w:val="mqeng"/>
              <w:jc w:val="left"/>
            </w:pPr>
            <w:r>
              <w:rPr>
                <w:noProof/>
              </w:rPr>
              <w:t>China Opportunities Fund</w:t>
            </w:r>
          </w:p>
        </w:tc>
        <w:tc>
          <w:tcPr>
            <w:tcW w:w="360" w:type="dxa"/>
            <w:shd w:val="clear" w:color="auto" w:fill="auto"/>
          </w:tcPr>
          <w:p w:rsidR="00A77B3E">
            <w:pPr>
              <w:pStyle w:val="mqspa"/>
              <w:jc w:val="left"/>
            </w:pPr>
            <w:r>
              <w:rPr>
                <w:noProof w:val="0"/>
              </w:rPr>
              <w:t>China Opportunities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124</w:t>
              <w:br/>
            </w:r>
            <w:r>
              <w:rPr>
                <w:noProof/>
                <w:sz w:val="2"/>
              </w:rPr>
              <w:t>c0e21ae5-7cac-435d-a1a1-eeb46c5e310d</w:t>
            </w:r>
          </w:p>
        </w:tc>
        <w:tc>
          <w:tcPr>
            <w:tcW w:w="360" w:type="dxa"/>
            <w:shd w:val="clear" w:color="auto" w:fill="F2F2F2"/>
          </w:tcPr>
          <w:p w:rsidR="00A77B3E">
            <w:pPr>
              <w:pStyle w:val="mqeng"/>
              <w:jc w:val="left"/>
            </w:pPr>
            <w:r>
              <w:rPr>
                <w:noProof/>
              </w:rPr>
              <w:t>Emerging Markets Innovation Fund</w:t>
            </w:r>
          </w:p>
        </w:tc>
        <w:tc>
          <w:tcPr>
            <w:tcW w:w="360" w:type="dxa"/>
            <w:shd w:val="clear" w:color="auto" w:fill="auto"/>
          </w:tcPr>
          <w:p w:rsidR="00A77B3E">
            <w:pPr>
              <w:pStyle w:val="mqspa"/>
              <w:jc w:val="left"/>
            </w:pPr>
            <w:r>
              <w:rPr>
                <w:noProof w:val="0"/>
              </w:rPr>
              <w:t>Emerging Markets Innovation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125</w:t>
              <w:br/>
            </w:r>
            <w:r>
              <w:rPr>
                <w:noProof/>
                <w:sz w:val="2"/>
              </w:rPr>
              <w:t>9c5fc0eb-ebfa-4665-97fc-6d1d42f99906</w:t>
            </w:r>
          </w:p>
        </w:tc>
        <w:tc>
          <w:tcPr>
            <w:tcW w:w="360" w:type="dxa"/>
            <w:shd w:val="clear" w:color="auto" w:fill="F2F2F2"/>
          </w:tcPr>
          <w:p w:rsidR="00A77B3E">
            <w:pPr>
              <w:pStyle w:val="mqeng"/>
              <w:jc w:val="left"/>
            </w:pPr>
            <w:r>
              <w:rPr>
                <w:noProof/>
              </w:rPr>
              <w:t>Global Property Equities Fund</w:t>
            </w:r>
          </w:p>
        </w:tc>
        <w:tc>
          <w:tcPr>
            <w:tcW w:w="360" w:type="dxa"/>
            <w:shd w:val="clear" w:color="auto" w:fill="auto"/>
          </w:tcPr>
          <w:p w:rsidR="00A77B3E">
            <w:pPr>
              <w:pStyle w:val="mqspa"/>
              <w:jc w:val="left"/>
            </w:pPr>
            <w:r>
              <w:rPr>
                <w:noProof w:val="0"/>
              </w:rPr>
              <w:t>Global Property Equities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126</w:t>
              <w:br/>
            </w:r>
            <w:r>
              <w:rPr>
                <w:noProof/>
                <w:sz w:val="2"/>
              </w:rPr>
              <w:t>84bbc77d-1735-4fba-ac7f-59c5a4319212</w:t>
            </w:r>
          </w:p>
        </w:tc>
        <w:tc>
          <w:tcPr>
            <w:tcW w:w="360" w:type="dxa"/>
            <w:shd w:val="clear" w:color="auto" w:fill="F2F2F2"/>
          </w:tcPr>
          <w:p w:rsidR="00A77B3E">
            <w:pPr>
              <w:pStyle w:val="mqeng"/>
              <w:jc w:val="left"/>
            </w:pPr>
            <w:r>
              <w:rPr>
                <w:noProof/>
              </w:rPr>
              <w:t>Global Smaller Companies Fund</w:t>
            </w:r>
          </w:p>
        </w:tc>
        <w:tc>
          <w:tcPr>
            <w:tcW w:w="360" w:type="dxa"/>
            <w:shd w:val="clear" w:color="auto" w:fill="auto"/>
          </w:tcPr>
          <w:p w:rsidR="00A77B3E">
            <w:pPr>
              <w:pStyle w:val="mqspa"/>
              <w:jc w:val="left"/>
            </w:pPr>
            <w:r>
              <w:rPr>
                <w:noProof w:val="0"/>
              </w:rPr>
              <w:t>Global Smaller Companies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127</w:t>
              <w:br/>
            </w:r>
            <w:r>
              <w:rPr>
                <w:noProof/>
                <w:sz w:val="2"/>
              </w:rPr>
              <w:t>ffb78cc5-3721-47e5-b41f-cae3df28112e</w:t>
            </w:r>
          </w:p>
        </w:tc>
        <w:tc>
          <w:tcPr>
            <w:tcW w:w="360" w:type="dxa"/>
            <w:shd w:val="clear" w:color="auto" w:fill="F2F2F2"/>
          </w:tcPr>
          <w:p w:rsidR="00A77B3E">
            <w:pPr>
              <w:pStyle w:val="mqeng"/>
              <w:jc w:val="left"/>
            </w:pPr>
            <w:r>
              <w:rPr>
                <w:noProof/>
              </w:rPr>
              <w:t>Global Sustainable Equity Fund</w:t>
            </w:r>
          </w:p>
        </w:tc>
        <w:tc>
          <w:tcPr>
            <w:tcW w:w="360" w:type="dxa"/>
            <w:shd w:val="clear" w:color="auto" w:fill="auto"/>
          </w:tcPr>
          <w:p w:rsidR="00A77B3E">
            <w:pPr>
              <w:pStyle w:val="mqspa"/>
              <w:jc w:val="left"/>
            </w:pPr>
            <w:r>
              <w:rPr>
                <w:noProof w:val="0"/>
              </w:rPr>
              <w:t>Global Sustainable Equity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128</w:t>
              <w:br/>
            </w:r>
            <w:r>
              <w:rPr>
                <w:noProof/>
                <w:sz w:val="2"/>
              </w:rPr>
              <w:t>3ace5326-b6d7-4864-90fb-7b91df15a948</w:t>
            </w:r>
          </w:p>
        </w:tc>
        <w:tc>
          <w:tcPr>
            <w:tcW w:w="360" w:type="dxa"/>
            <w:shd w:val="clear" w:color="auto" w:fill="F2F2F2"/>
          </w:tcPr>
          <w:p w:rsidR="00A77B3E">
            <w:pPr>
              <w:pStyle w:val="mqeng"/>
              <w:jc w:val="left"/>
            </w:pPr>
            <w:r>
              <w:rPr>
                <w:noProof/>
              </w:rPr>
              <w:t>Global Technology Leaders Fund</w:t>
            </w:r>
          </w:p>
        </w:tc>
        <w:tc>
          <w:tcPr>
            <w:tcW w:w="360" w:type="dxa"/>
            <w:shd w:val="clear" w:color="auto" w:fill="auto"/>
          </w:tcPr>
          <w:p w:rsidR="00A77B3E">
            <w:pPr>
              <w:pStyle w:val="mqspa"/>
              <w:jc w:val="left"/>
            </w:pPr>
            <w:r>
              <w:rPr>
                <w:noProof w:val="0"/>
              </w:rPr>
              <w:t>Global Technology Leaders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129</w:t>
              <w:br/>
            </w:r>
            <w:r>
              <w:rPr>
                <w:noProof/>
                <w:sz w:val="2"/>
              </w:rPr>
              <w:t>81c744bd-169a-43b1-a49a-91459eb77b47</w:t>
            </w:r>
          </w:p>
        </w:tc>
        <w:tc>
          <w:tcPr>
            <w:tcW w:w="360" w:type="dxa"/>
            <w:shd w:val="clear" w:color="auto" w:fill="F2F2F2"/>
          </w:tcPr>
          <w:p w:rsidR="00A77B3E">
            <w:pPr>
              <w:pStyle w:val="mqeng"/>
              <w:jc w:val="left"/>
            </w:pPr>
            <w:r>
              <w:rPr>
                <w:noProof/>
              </w:rPr>
              <w:t>Responsible Resources Fund</w:t>
            </w:r>
          </w:p>
        </w:tc>
        <w:tc>
          <w:tcPr>
            <w:tcW w:w="360" w:type="dxa"/>
            <w:shd w:val="clear" w:color="auto" w:fill="auto"/>
          </w:tcPr>
          <w:p w:rsidR="00A77B3E">
            <w:pPr>
              <w:pStyle w:val="mqspa"/>
              <w:jc w:val="left"/>
            </w:pPr>
            <w:r>
              <w:rPr>
                <w:noProof w:val="0"/>
              </w:rPr>
              <w:t>Responsable Resources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130</w:t>
              <w:br/>
            </w:r>
            <w:r>
              <w:rPr>
                <w:noProof/>
                <w:sz w:val="2"/>
              </w:rPr>
              <w:t>378fe34b-6163-4eb8-9a94-1517959733e8</w:t>
            </w:r>
          </w:p>
        </w:tc>
        <w:tc>
          <w:tcPr>
            <w:tcW w:w="360" w:type="dxa"/>
            <w:shd w:val="clear" w:color="auto" w:fill="F2F2F2"/>
          </w:tcPr>
          <w:p w:rsidR="00A77B3E">
            <w:pPr>
              <w:pStyle w:val="mqeng"/>
              <w:jc w:val="left"/>
            </w:pPr>
            <w:r>
              <w:rPr>
                <w:noProof/>
              </w:rPr>
              <w:t>Japanese Smaller Companies Fund</w:t>
            </w:r>
          </w:p>
        </w:tc>
        <w:tc>
          <w:tcPr>
            <w:tcW w:w="360" w:type="dxa"/>
            <w:shd w:val="clear" w:color="auto" w:fill="auto"/>
          </w:tcPr>
          <w:p w:rsidR="00A77B3E">
            <w:pPr>
              <w:pStyle w:val="mqspa"/>
              <w:jc w:val="left"/>
            </w:pPr>
            <w:r>
              <w:rPr>
                <w:noProof w:val="0"/>
              </w:rPr>
              <w:t>Japanese Smaller Companies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131</w:t>
              <w:br/>
            </w:r>
            <w:r>
              <w:rPr>
                <w:noProof/>
                <w:sz w:val="2"/>
              </w:rPr>
              <w:t>f5966497-3196-468b-9a90-6296598f5a26</w:t>
            </w:r>
          </w:p>
        </w:tc>
        <w:tc>
          <w:tcPr>
            <w:tcW w:w="360" w:type="dxa"/>
            <w:shd w:val="clear" w:color="auto" w:fill="F2F2F2"/>
          </w:tcPr>
          <w:p w:rsidR="00A77B3E">
            <w:pPr>
              <w:pStyle w:val="mqeng"/>
              <w:jc w:val="left"/>
            </w:pPr>
            <w:r>
              <w:rPr>
                <w:noProof/>
              </w:rPr>
              <w:t>Pan European Absolute Return Fund</w:t>
            </w:r>
          </w:p>
        </w:tc>
        <w:tc>
          <w:tcPr>
            <w:tcW w:w="360" w:type="dxa"/>
            <w:shd w:val="clear" w:color="auto" w:fill="auto"/>
          </w:tcPr>
          <w:p w:rsidR="00A77B3E">
            <w:pPr>
              <w:pStyle w:val="mqspa"/>
              <w:jc w:val="left"/>
            </w:pPr>
            <w:r>
              <w:rPr>
                <w:noProof w:val="0"/>
              </w:rPr>
              <w:t>Pan European Absolute Return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132</w:t>
              <w:br/>
            </w:r>
            <w:r>
              <w:rPr>
                <w:noProof/>
                <w:sz w:val="2"/>
              </w:rPr>
              <w:t>220ae75a-75ef-4044-9b35-694977c34955</w:t>
            </w:r>
          </w:p>
        </w:tc>
        <w:tc>
          <w:tcPr>
            <w:tcW w:w="360" w:type="dxa"/>
            <w:shd w:val="clear" w:color="auto" w:fill="F2F2F2"/>
          </w:tcPr>
          <w:p w:rsidR="00A77B3E">
            <w:pPr>
              <w:pStyle w:val="mqeng"/>
              <w:jc w:val="left"/>
            </w:pPr>
            <w:r>
              <w:rPr>
                <w:noProof/>
              </w:rPr>
              <w:t>Pan European Property Equities Fund</w:t>
            </w:r>
          </w:p>
        </w:tc>
        <w:tc>
          <w:tcPr>
            <w:tcW w:w="360" w:type="dxa"/>
            <w:shd w:val="clear" w:color="auto" w:fill="auto"/>
          </w:tcPr>
          <w:p w:rsidR="00A77B3E">
            <w:pPr>
              <w:pStyle w:val="mqspa"/>
              <w:jc w:val="left"/>
            </w:pPr>
            <w:r>
              <w:rPr>
                <w:noProof w:val="0"/>
              </w:rPr>
              <w:t>Pan European Property Equities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133</w:t>
              <w:br/>
            </w:r>
            <w:r>
              <w:rPr>
                <w:noProof/>
                <w:sz w:val="2"/>
              </w:rPr>
              <w:t>4f34a0ba-e2ad-4f82-b023-ebf85dc18e99</w:t>
            </w:r>
          </w:p>
        </w:tc>
        <w:tc>
          <w:tcPr>
            <w:tcW w:w="360" w:type="dxa"/>
            <w:shd w:val="clear" w:color="auto" w:fill="F2F2F2"/>
          </w:tcPr>
          <w:p w:rsidR="00A77B3E">
            <w:pPr>
              <w:pStyle w:val="mqeng"/>
              <w:jc w:val="left"/>
            </w:pPr>
            <w:r>
              <w:rPr>
                <w:noProof/>
              </w:rPr>
              <w:t>Pan European Smaller Companies Fund</w:t>
            </w:r>
          </w:p>
        </w:tc>
        <w:tc>
          <w:tcPr>
            <w:tcW w:w="360" w:type="dxa"/>
            <w:shd w:val="clear" w:color="auto" w:fill="auto"/>
          </w:tcPr>
          <w:p w:rsidR="00A77B3E">
            <w:pPr>
              <w:pStyle w:val="mqspa"/>
              <w:jc w:val="left"/>
            </w:pPr>
            <w:r>
              <w:rPr>
                <w:noProof w:val="0"/>
              </w:rPr>
              <w:t>Pan European Smaller Companies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134</w:t>
              <w:br/>
            </w:r>
            <w:r>
              <w:rPr>
                <w:noProof/>
                <w:sz w:val="2"/>
              </w:rPr>
              <w:t>bdaf5a45-ed88-4295-a2a1-a5a11f7d78f6</w:t>
            </w:r>
          </w:p>
        </w:tc>
        <w:tc>
          <w:tcPr>
            <w:tcW w:w="360" w:type="dxa"/>
            <w:shd w:val="clear" w:color="auto" w:fill="F2F2F2"/>
          </w:tcPr>
          <w:p w:rsidR="00A77B3E">
            <w:pPr>
              <w:pStyle w:val="mqeng"/>
              <w:jc w:val="left"/>
            </w:pPr>
            <w:r>
              <w:rPr>
                <w:noProof/>
              </w:rPr>
              <w:t>Strategic Bond Fund</w:t>
            </w:r>
          </w:p>
        </w:tc>
        <w:tc>
          <w:tcPr>
            <w:tcW w:w="360" w:type="dxa"/>
            <w:shd w:val="clear" w:color="auto" w:fill="auto"/>
          </w:tcPr>
          <w:p w:rsidR="00A77B3E">
            <w:pPr>
              <w:pStyle w:val="mqspa"/>
              <w:jc w:val="left"/>
            </w:pPr>
            <w:r>
              <w:rPr>
                <w:noProof w:val="0"/>
              </w:rPr>
              <w:t>Strategic Bond Fund</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135</w:t>
              <w:br/>
            </w:r>
            <w:r>
              <w:rPr>
                <w:noProof/>
                <w:sz w:val="2"/>
              </w:rPr>
              <w:t>a75bded0-604b-4883-bfbb-095de46fbe3d</w:t>
            </w:r>
          </w:p>
        </w:tc>
        <w:tc>
          <w:tcPr>
            <w:tcW w:w="360" w:type="dxa"/>
            <w:shd w:val="clear" w:color="auto" w:fill="F2F2F2"/>
          </w:tcPr>
          <w:p w:rsidR="00A77B3E">
            <w:pPr>
              <w:pStyle w:val="mqeng"/>
              <w:jc w:val="left"/>
            </w:pPr>
            <w:r>
              <w:rPr>
                <w:noProof/>
              </w:rPr>
              <w:t>Sustainable Future Technologies Fund</w:t>
            </w:r>
          </w:p>
        </w:tc>
        <w:tc>
          <w:tcPr>
            <w:tcW w:w="360" w:type="dxa"/>
            <w:shd w:val="clear" w:color="auto" w:fill="auto"/>
          </w:tcPr>
          <w:p w:rsidR="00A77B3E">
            <w:pPr>
              <w:pStyle w:val="mqspa"/>
              <w:jc w:val="left"/>
            </w:pPr>
            <w:r>
              <w:rPr>
                <w:noProof w:val="0"/>
              </w:rPr>
              <w:t>Future Sustainable Technologies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136</w:t>
              <w:br/>
            </w:r>
            <w:r>
              <w:rPr>
                <w:noProof/>
                <w:sz w:val="2"/>
              </w:rPr>
              <w:t>03693086-ea08-4721-b14f-24752caf4cbe</w:t>
            </w:r>
          </w:p>
        </w:tc>
        <w:tc>
          <w:tcPr>
            <w:tcW w:w="360" w:type="dxa"/>
            <w:shd w:val="clear" w:color="auto" w:fill="F2F2F2"/>
          </w:tcPr>
          <w:p w:rsidR="00A77B3E">
            <w:pPr>
              <w:pStyle w:val="mqeng"/>
              <w:jc w:val="left"/>
            </w:pPr>
            <w:r>
              <w:rPr>
                <w:noProof/>
              </w:rPr>
              <w:t>US Sustainable Equity Fund</w:t>
            </w:r>
          </w:p>
        </w:tc>
        <w:tc>
          <w:tcPr>
            <w:tcW w:w="360" w:type="dxa"/>
            <w:shd w:val="clear" w:color="auto" w:fill="auto"/>
          </w:tcPr>
          <w:p w:rsidR="00A77B3E">
            <w:pPr>
              <w:pStyle w:val="mqspa"/>
              <w:jc w:val="left"/>
            </w:pPr>
            <w:r>
              <w:rPr>
                <w:noProof w:val="0"/>
              </w:rPr>
              <w:t>US Sustainable Equity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137</w:t>
              <w:br/>
            </w:r>
            <w:r>
              <w:rPr>
                <w:noProof/>
                <w:sz w:val="2"/>
              </w:rPr>
              <w:t>3d66212d-ced8-48a9-9268-9503332ae440</w:t>
            </w:r>
          </w:p>
        </w:tc>
        <w:tc>
          <w:tcPr>
            <w:tcW w:w="360" w:type="dxa"/>
            <w:shd w:val="clear" w:color="auto" w:fill="F2F2F2"/>
          </w:tcPr>
          <w:p w:rsidR="00A77B3E">
            <w:pPr>
              <w:pStyle w:val="mqeng"/>
              <w:jc w:val="left"/>
            </w:pPr>
            <w:r>
              <w:rPr>
                <w:noProof/>
              </w:rPr>
              <w:t>An alternative initial charge is payable on Class T and further details are outlined under the ‘Fees, Charges and Expenses’ section of the Prospectus.</w:t>
            </w:r>
          </w:p>
        </w:tc>
        <w:tc>
          <w:tcPr>
            <w:tcW w:w="360" w:type="dxa"/>
            <w:shd w:val="clear" w:color="auto" w:fill="auto"/>
          </w:tcPr>
          <w:p w:rsidR="00A77B3E">
            <w:pPr>
              <w:pStyle w:val="mqspa"/>
              <w:jc w:val="left"/>
            </w:pPr>
            <w:r>
              <w:rPr>
                <w:noProof w:val="0"/>
              </w:rPr>
              <w:t>Se debe pagar una comisión inicial alternativa en la Clase T y se detallan más información en la sección de ‘Comisiones, gastos y gastos’ del Folleto.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138</w:t>
              <w:br/>
            </w:r>
            <w:r>
              <w:rPr>
                <w:noProof/>
                <w:sz w:val="2"/>
              </w:rPr>
              <w:t>6e4382ca-9eec-44e4-90af-048e8bc16bcb</w:t>
            </w:r>
          </w:p>
        </w:tc>
        <w:tc>
          <w:tcPr>
            <w:tcW w:w="360" w:type="dxa"/>
            <w:shd w:val="clear" w:color="auto" w:fill="F2F2F2"/>
          </w:tcPr>
          <w:p w:rsidR="00A77B3E">
            <w:pPr>
              <w:pStyle w:val="mqeng"/>
              <w:jc w:val="left"/>
            </w:pPr>
            <w:r>
              <w:rPr>
                <w:noProof/>
              </w:rPr>
              <w:t>Except for the Funds stated above, no initial charge is payable on Class E, Class G, Class GU, Class I, Class IU, Class IF, Class B, Class C and Class M Shares.</w:t>
            </w:r>
          </w:p>
        </w:tc>
        <w:tc>
          <w:tcPr>
            <w:tcW w:w="360" w:type="dxa"/>
            <w:shd w:val="clear" w:color="auto" w:fill="auto"/>
          </w:tcPr>
          <w:p w:rsidR="00A77B3E">
            <w:pPr>
              <w:pStyle w:val="mqspa"/>
              <w:jc w:val="left"/>
            </w:pPr>
            <w:r>
              <w:rPr>
                <w:noProof w:val="0"/>
              </w:rPr>
              <w:t>Excepto por los Fondos mencionados anteriormente, no se paga comisión inicial en las Acciones de Clase E, Clase G, Clase GU, Clase IU, Clase IF, Clase B, Clase C y Clase M.</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139</w:t>
              <w:br/>
            </w:r>
            <w:r>
              <w:rPr>
                <w:noProof/>
                <w:sz w:val="2"/>
              </w:rPr>
              <w:t>462c3ed1-48fb-4987-92da-e2cd552d4700</w:t>
            </w:r>
          </w:p>
        </w:tc>
        <w:tc>
          <w:tcPr>
            <w:tcW w:w="360" w:type="dxa"/>
            <w:shd w:val="clear" w:color="auto" w:fill="F2F2F2"/>
          </w:tcPr>
          <w:p w:rsidR="00A77B3E">
            <w:pPr>
              <w:pStyle w:val="mqeng"/>
              <w:jc w:val="left"/>
            </w:pPr>
            <w:r>
              <w:rPr>
                <w:noProof/>
              </w:rPr>
              <w:t>No initial charge is payable on Class Z of any Fund.</w:t>
            </w:r>
          </w:p>
        </w:tc>
        <w:tc>
          <w:tcPr>
            <w:tcW w:w="360" w:type="dxa"/>
            <w:shd w:val="clear" w:color="auto" w:fill="auto"/>
          </w:tcPr>
          <w:p w:rsidR="00A77B3E">
            <w:pPr>
              <w:pStyle w:val="mqspa"/>
              <w:jc w:val="left"/>
            </w:pPr>
            <w:r>
              <w:rPr>
                <w:noProof w:val="0"/>
              </w:rPr>
              <w:t>No se pagará ninguna comisión inicial en relación a la Clase Z de ningún Fondo.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140</w:t>
              <w:br/>
            </w:r>
            <w:r>
              <w:rPr>
                <w:noProof/>
                <w:sz w:val="2"/>
              </w:rPr>
              <w:t>c45441ff-76cd-463a-9f2b-fbcdb0ba812b</w:t>
            </w:r>
          </w:p>
        </w:tc>
        <w:tc>
          <w:tcPr>
            <w:tcW w:w="360" w:type="dxa"/>
            <w:shd w:val="clear" w:color="auto" w:fill="F2F2F2"/>
          </w:tcPr>
          <w:p w:rsidR="00A77B3E">
            <w:pPr>
              <w:pStyle w:val="mqeng"/>
              <w:jc w:val="left"/>
            </w:pPr>
            <w:r>
              <w:rPr>
                <w:noProof/>
              </w:rPr>
              <w:t>The initial charge is a maximum figure and may be waived, at the discretion of a Principal Distributor, in whole or in part.</w:t>
            </w:r>
          </w:p>
        </w:tc>
        <w:tc>
          <w:tcPr>
            <w:tcW w:w="360" w:type="dxa"/>
            <w:shd w:val="clear" w:color="auto" w:fill="auto"/>
          </w:tcPr>
          <w:p w:rsidR="00A77B3E">
            <w:pPr>
              <w:pStyle w:val="mqspa"/>
              <w:jc w:val="left"/>
            </w:pPr>
            <w:r>
              <w:rPr>
                <w:noProof w:val="0"/>
              </w:rPr>
              <w:t>La comisión inicial es una cifra máxima y puede no aplicarse, según el criterio de la Entidad Comercializadora principal, total o parcialmente.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141</w:t>
              <w:br/>
            </w:r>
            <w:r>
              <w:rPr>
                <w:noProof/>
                <w:sz w:val="2"/>
              </w:rPr>
              <w:t>dc3def6d-c9fe-48a9-b847-852a059327e8</w:t>
            </w:r>
          </w:p>
        </w:tc>
        <w:tc>
          <w:tcPr>
            <w:tcW w:w="360" w:type="dxa"/>
            <w:shd w:val="clear" w:color="auto" w:fill="F2F2F2"/>
          </w:tcPr>
          <w:p w:rsidR="00A77B3E">
            <w:pPr>
              <w:pStyle w:val="mqeng"/>
              <w:jc w:val="left"/>
            </w:pPr>
            <w:r>
              <w:rPr>
                <w:noProof/>
              </w:rPr>
              <w:t>A Principal Distributor may in conjunction with each Authorised Distributor agree the proportion of the initial charge to be retained by the Authorised Distributor.</w:t>
            </w:r>
          </w:p>
        </w:tc>
        <w:tc>
          <w:tcPr>
            <w:tcW w:w="360" w:type="dxa"/>
            <w:shd w:val="clear" w:color="auto" w:fill="auto"/>
          </w:tcPr>
          <w:p w:rsidR="00A77B3E">
            <w:pPr>
              <w:pStyle w:val="mqspa"/>
              <w:jc w:val="left"/>
            </w:pPr>
            <w:r>
              <w:rPr>
                <w:noProof w:val="0"/>
              </w:rPr>
              <w:t>La Entidad Comercializadora principal podrá, junto con cada Entidad comercializadora autorizada, acordar la proporción de la comisión inicial que corresponde a la Entidad comercializadora autorizada.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142</w:t>
              <w:br/>
            </w:r>
            <w:r>
              <w:rPr>
                <w:noProof/>
                <w:sz w:val="2"/>
              </w:rPr>
              <w:t>0164895f-fcda-488a-b14d-c19610b0094c</w:t>
            </w:r>
          </w:p>
        </w:tc>
        <w:tc>
          <w:tcPr>
            <w:tcW w:w="360" w:type="dxa"/>
            <w:shd w:val="clear" w:color="auto" w:fill="F2F2F2"/>
          </w:tcPr>
          <w:p w:rsidR="00A77B3E">
            <w:pPr>
              <w:pStyle w:val="mqeng"/>
              <w:jc w:val="left"/>
            </w:pPr>
            <w:r>
              <w:rPr>
                <w:noProof/>
              </w:rPr>
              <w:t>An up-to-date list of the share classes available for the Funds can be obtained from the website www.janushenderson.com or from the registered office of the Company.</w:t>
            </w:r>
          </w:p>
        </w:tc>
        <w:tc>
          <w:tcPr>
            <w:tcW w:w="360" w:type="dxa"/>
            <w:shd w:val="clear" w:color="auto" w:fill="auto"/>
          </w:tcPr>
          <w:p w:rsidR="00A77B3E">
            <w:pPr>
              <w:pStyle w:val="mqspa"/>
              <w:jc w:val="left"/>
            </w:pPr>
            <w:r>
              <w:rPr>
                <w:noProof w:val="0"/>
              </w:rPr>
              <w:t>Un listado actualizado de las clases de acciones disponibles para los Fondos se puede obtener en el sitio web www.janushenderson.com o en el domicilio social de la Compañía.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143</w:t>
              <w:br/>
            </w:r>
            <w:r>
              <w:rPr>
                <w:noProof/>
                <w:sz w:val="2"/>
              </w:rPr>
              <w:t>fe859043-724d-4aa7-ae44-694354d9fa69</w:t>
            </w:r>
          </w:p>
        </w:tc>
        <w:tc>
          <w:tcPr>
            <w:tcW w:w="360" w:type="dxa"/>
            <w:shd w:val="clear" w:color="auto" w:fill="F2F2F2"/>
          </w:tcPr>
          <w:p w:rsidR="00A77B3E">
            <w:pPr>
              <w:pStyle w:val="mqeng"/>
              <w:jc w:val="left"/>
            </w:pPr>
            <w:r>
              <w:rPr>
                <w:noProof/>
              </w:rPr>
              <w:t>A Principal Distributor reserves the right to impose a trading fee of up to 1% of the gross amount being redeemed on the redemption of any Share Class, which are redeemed up to 90 calendar days after the Shares have been purchased.</w:t>
            </w:r>
          </w:p>
        </w:tc>
        <w:tc>
          <w:tcPr>
            <w:tcW w:w="360" w:type="dxa"/>
            <w:shd w:val="clear" w:color="auto" w:fill="auto"/>
          </w:tcPr>
          <w:p w:rsidR="00A77B3E">
            <w:pPr>
              <w:pStyle w:val="mqspa"/>
              <w:jc w:val="left"/>
            </w:pPr>
            <w:r>
              <w:rPr>
                <w:noProof w:val="0"/>
              </w:rPr>
              <w:t>Una Entidad Comercializadora principal se reserva el derecho de imponer una comisión de negociación de hasta el 1% del importe bruto reembolsado en el reembolso de cualquier Clase de acciones, que sean objeto de reembolso hasta 90 días naturales después de la compra de las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144</w:t>
              <w:br/>
            </w:r>
            <w:r>
              <w:rPr>
                <w:noProof/>
                <w:sz w:val="2"/>
              </w:rPr>
              <w:t>a434d0bb-6327-487a-9b9b-56b58e551a7d</w:t>
            </w:r>
          </w:p>
        </w:tc>
        <w:tc>
          <w:tcPr>
            <w:tcW w:w="360" w:type="dxa"/>
            <w:shd w:val="clear" w:color="auto" w:fill="F2F2F2"/>
          </w:tcPr>
          <w:p w:rsidR="00A77B3E">
            <w:pPr>
              <w:pStyle w:val="mqeng"/>
              <w:jc w:val="left"/>
            </w:pPr>
            <w:r>
              <w:rPr>
                <w:noProof/>
              </w:rPr>
              <w:t>The Company will in this respect follow a policy of equal treatment of all Shareholders in the same or comparable situations.</w:t>
            </w:r>
          </w:p>
        </w:tc>
        <w:tc>
          <w:tcPr>
            <w:tcW w:w="360" w:type="dxa"/>
            <w:shd w:val="clear" w:color="auto" w:fill="auto"/>
          </w:tcPr>
          <w:p w:rsidR="00A77B3E">
            <w:pPr>
              <w:pStyle w:val="mqspa"/>
              <w:jc w:val="left"/>
            </w:pPr>
            <w:r>
              <w:rPr>
                <w:noProof w:val="0"/>
              </w:rPr>
              <w:t>La Compañía seguirá en este sentido una política de trato igualitario de todos los Accionistas en las mismas o situaciones comparables.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145</w:t>
              <w:br/>
            </w:r>
            <w:r>
              <w:rPr>
                <w:noProof/>
                <w:sz w:val="2"/>
              </w:rPr>
              <w:t>5baf6cb1-36ee-4c6c-987d-bb658cf4ffeb</w:t>
            </w:r>
          </w:p>
        </w:tc>
        <w:tc>
          <w:tcPr>
            <w:tcW w:w="360" w:type="dxa"/>
            <w:shd w:val="clear" w:color="auto" w:fill="F2F2F2"/>
          </w:tcPr>
          <w:p w:rsidR="00A77B3E">
            <w:pPr>
              <w:pStyle w:val="mqeng"/>
              <w:jc w:val="left"/>
            </w:pPr>
            <w:r>
              <w:rPr>
                <w:noProof/>
              </w:rPr>
              <w:t>A switching charge of up to 1% of the gross amount being switched may be levied at the Principal Distributor’s discretion on any Share Class.</w:t>
            </w:r>
          </w:p>
        </w:tc>
        <w:tc>
          <w:tcPr>
            <w:tcW w:w="360" w:type="dxa"/>
            <w:shd w:val="clear" w:color="auto" w:fill="auto"/>
          </w:tcPr>
          <w:p w:rsidR="00A77B3E">
            <w:pPr>
              <w:pStyle w:val="mqspa"/>
              <w:jc w:val="left"/>
            </w:pPr>
            <w:r>
              <w:rPr>
                <w:noProof w:val="0"/>
              </w:rPr>
              <w:t>Se puede aplicar una comisión de conversión de hasta el 1% del importe bruto que se esté convirtiendo a discreción de la Entidad Comercializadora principal en cualquier Clase de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146</w:t>
              <w:br/>
            </w:r>
            <w:r>
              <w:rPr>
                <w:noProof/>
                <w:sz w:val="2"/>
              </w:rPr>
              <w:t>2c3bb65a-4a75-49e9-b594-512025f473cf</w:t>
            </w:r>
          </w:p>
        </w:tc>
        <w:tc>
          <w:tcPr>
            <w:tcW w:w="360" w:type="dxa"/>
            <w:shd w:val="clear" w:color="auto" w:fill="F2F2F2"/>
          </w:tcPr>
          <w:p w:rsidR="00A77B3E">
            <w:pPr>
              <w:pStyle w:val="mqeng"/>
              <w:jc w:val="left"/>
            </w:pPr>
            <w:r>
              <w:rPr>
                <w:noProof/>
              </w:rPr>
              <w:t>The Company will in this respect follow a policy of equal treatment of all Shareholders in the same or comparable situations.</w:t>
            </w:r>
          </w:p>
        </w:tc>
        <w:tc>
          <w:tcPr>
            <w:tcW w:w="360" w:type="dxa"/>
            <w:shd w:val="clear" w:color="auto" w:fill="auto"/>
          </w:tcPr>
          <w:p w:rsidR="00A77B3E">
            <w:pPr>
              <w:pStyle w:val="mqspa"/>
              <w:jc w:val="left"/>
            </w:pPr>
            <w:r>
              <w:rPr>
                <w:noProof w:val="0"/>
              </w:rPr>
              <w:t>La Compañía seguirá en este sentido una política de trato igualitario de todos los Accionistas en las mismas o situaciones comparables.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147</w:t>
              <w:br/>
            </w:r>
            <w:r>
              <w:rPr>
                <w:noProof/>
                <w:sz w:val="2"/>
              </w:rPr>
              <w:t>bdedee1c-0d91-4be1-86c1-4cfa5c9b35b1</w:t>
            </w:r>
          </w:p>
        </w:tc>
        <w:tc>
          <w:tcPr>
            <w:tcW w:w="360" w:type="dxa"/>
            <w:shd w:val="clear" w:color="auto" w:fill="F2F2F2"/>
          </w:tcPr>
          <w:p w:rsidR="00A77B3E">
            <w:pPr>
              <w:pStyle w:val="mqeng"/>
              <w:jc w:val="left"/>
            </w:pPr>
            <w:r>
              <w:rPr>
                <w:noProof/>
              </w:rPr>
              <w:t>A charge is also payable out of the assets of the relevant Fund for the ongoing management of the Company.</w:t>
            </w:r>
          </w:p>
        </w:tc>
        <w:tc>
          <w:tcPr>
            <w:tcW w:w="360" w:type="dxa"/>
            <w:shd w:val="clear" w:color="auto" w:fill="auto"/>
          </w:tcPr>
          <w:p w:rsidR="00A77B3E">
            <w:pPr>
              <w:pStyle w:val="mqspa"/>
              <w:jc w:val="left"/>
            </w:pPr>
            <w:r>
              <w:rPr>
                <w:noProof w:val="0"/>
              </w:rPr>
              <w:t>Una comisión también es pagadera de los activos del Fondo correspondiente para la gestión continua de la Sociedad.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148</w:t>
              <w:br/>
            </w:r>
            <w:r>
              <w:rPr>
                <w:noProof/>
                <w:sz w:val="2"/>
              </w:rPr>
              <w:t>7096213f-8c2d-43ed-a26d-0ffcb30011a5</w:t>
            </w:r>
          </w:p>
        </w:tc>
        <w:tc>
          <w:tcPr>
            <w:tcW w:w="360" w:type="dxa"/>
            <w:shd w:val="clear" w:color="auto" w:fill="F2F2F2"/>
          </w:tcPr>
          <w:p w:rsidR="00A77B3E">
            <w:pPr>
              <w:pStyle w:val="mqeng"/>
              <w:jc w:val="left"/>
            </w:pPr>
            <w:r>
              <w:rPr>
                <w:noProof/>
              </w:rPr>
              <w:t>The management fees vary between the Funds and Share Classes.</w:t>
            </w:r>
          </w:p>
        </w:tc>
        <w:tc>
          <w:tcPr>
            <w:tcW w:w="360" w:type="dxa"/>
            <w:shd w:val="clear" w:color="auto" w:fill="auto"/>
          </w:tcPr>
          <w:p w:rsidR="00A77B3E">
            <w:pPr>
              <w:pStyle w:val="mqspa"/>
              <w:jc w:val="left"/>
            </w:pPr>
            <w:r>
              <w:rPr>
                <w:noProof w:val="0"/>
              </w:rPr>
              <w:t>Las comisiones de gestión varían entre los Fondos y las Clases de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149</w:t>
              <w:br/>
            </w:r>
            <w:r>
              <w:rPr>
                <w:noProof/>
                <w:sz w:val="2"/>
              </w:rPr>
              <w:t>dbd68dbf-724d-4339-9b41-995d627efc1d</w:t>
            </w:r>
          </w:p>
        </w:tc>
        <w:tc>
          <w:tcPr>
            <w:tcW w:w="360" w:type="dxa"/>
            <w:shd w:val="clear" w:color="auto" w:fill="F2F2F2"/>
          </w:tcPr>
          <w:p w:rsidR="00A77B3E">
            <w:pPr>
              <w:pStyle w:val="mqeng"/>
              <w:jc w:val="left"/>
            </w:pPr>
            <w:r>
              <w:rPr>
                <w:noProof/>
              </w:rPr>
              <w:t>The management fee is collected each month in arrears directly from the assets of the relevant Fund.</w:t>
            </w:r>
          </w:p>
        </w:tc>
        <w:tc>
          <w:tcPr>
            <w:tcW w:w="360" w:type="dxa"/>
            <w:shd w:val="clear" w:color="auto" w:fill="auto"/>
          </w:tcPr>
          <w:p w:rsidR="00A77B3E">
            <w:pPr>
              <w:pStyle w:val="mqspa"/>
              <w:jc w:val="left"/>
            </w:pPr>
            <w:r>
              <w:rPr>
                <w:noProof w:val="0"/>
              </w:rPr>
              <w:t>La comisión de gestión se cobra cada mes a plazo vencido directamente de los activos del Fondo correspondiente.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150</w:t>
              <w:br/>
            </w:r>
            <w:r>
              <w:rPr>
                <w:noProof/>
                <w:sz w:val="2"/>
              </w:rPr>
              <w:t>956a8e00-397c-4466-bab2-1e6a46a3f398</w:t>
            </w:r>
          </w:p>
        </w:tc>
        <w:tc>
          <w:tcPr>
            <w:tcW w:w="360" w:type="dxa"/>
            <w:shd w:val="clear" w:color="auto" w:fill="F2F2F2"/>
          </w:tcPr>
          <w:p w:rsidR="00A77B3E">
            <w:pPr>
              <w:pStyle w:val="mqeng"/>
              <w:jc w:val="left"/>
            </w:pPr>
            <w:r>
              <w:rPr>
                <w:noProof/>
              </w:rPr>
              <w:t>More details regarding the management fees are included in the section ‘Fees, Charges and Expenses’ of this Prospectus.</w:t>
            </w:r>
          </w:p>
        </w:tc>
        <w:tc>
          <w:tcPr>
            <w:tcW w:w="360" w:type="dxa"/>
            <w:shd w:val="clear" w:color="auto" w:fill="auto"/>
          </w:tcPr>
          <w:p w:rsidR="00A77B3E">
            <w:pPr>
              <w:pStyle w:val="mqspa"/>
              <w:jc w:val="left"/>
            </w:pPr>
            <w:r>
              <w:rPr>
                <w:noProof w:val="0"/>
              </w:rPr>
              <w:t>Más detalles sobre las Comisiones de gestión se incluyen en el apartado «Comisiones, gastos y gastos» de este Folleto informativo.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151</w:t>
              <w:br/>
            </w:r>
            <w:r>
              <w:rPr>
                <w:noProof/>
                <w:sz w:val="2"/>
              </w:rPr>
              <w:t>40b786e1-6c93-462a-9acb-710719a5699e</w:t>
            </w:r>
          </w:p>
        </w:tc>
        <w:tc>
          <w:tcPr>
            <w:tcW w:w="360" w:type="dxa"/>
            <w:shd w:val="clear" w:color="auto" w:fill="F2F2F2"/>
          </w:tcPr>
          <w:p w:rsidR="00A77B3E">
            <w:pPr>
              <w:pStyle w:val="mqeng"/>
              <w:jc w:val="left"/>
            </w:pPr>
            <w:r>
              <w:rPr>
                <w:noProof/>
              </w:rPr>
              <w:t>Performance Fees may be charged on all of the Funds.</w:t>
            </w:r>
          </w:p>
        </w:tc>
        <w:tc>
          <w:tcPr>
            <w:tcW w:w="360" w:type="dxa"/>
            <w:shd w:val="clear" w:color="auto" w:fill="auto"/>
          </w:tcPr>
          <w:p w:rsidR="00A77B3E">
            <w:pPr>
              <w:pStyle w:val="mqspa"/>
              <w:jc w:val="left"/>
            </w:pPr>
            <w:r>
              <w:rPr>
                <w:noProof w:val="0"/>
              </w:rPr>
              <w:t>Las Comisiones de rentabilidad pueden cobrarse en todos los Fondos.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152</w:t>
              <w:br/>
            </w:r>
            <w:r>
              <w:rPr>
                <w:noProof/>
                <w:sz w:val="2"/>
              </w:rPr>
              <w:t>57b04d2e-1ae0-47d3-886a-3a1aaaeea190</w:t>
            </w:r>
          </w:p>
        </w:tc>
        <w:tc>
          <w:tcPr>
            <w:tcW w:w="360" w:type="dxa"/>
            <w:shd w:val="clear" w:color="auto" w:fill="F2F2F2"/>
          </w:tcPr>
          <w:p w:rsidR="00A77B3E">
            <w:pPr>
              <w:pStyle w:val="mqeng"/>
              <w:jc w:val="left"/>
            </w:pPr>
            <w:r>
              <w:rPr>
                <w:noProof/>
              </w:rPr>
              <w:t>However, there is no Performance Fee charged on the China Opportunities Fund, the Global Multi-Asset Fund, the Global Sustainable Equity Fund, Sustainable Future Technologies Fund, US Sustainable Equity Fund and the Bond Funds.</w:t>
            </w:r>
          </w:p>
        </w:tc>
        <w:tc>
          <w:tcPr>
            <w:tcW w:w="360" w:type="dxa"/>
            <w:shd w:val="clear" w:color="auto" w:fill="auto"/>
          </w:tcPr>
          <w:p w:rsidR="00A77B3E">
            <w:pPr>
              <w:pStyle w:val="mqspa"/>
              <w:jc w:val="left"/>
            </w:pPr>
            <w:r>
              <w:rPr>
                <w:noProof w:val="0"/>
              </w:rPr>
              <w:t>Sin embargo, no se cobra ninguna Comisión de gestión sobre resultados en el China Opportunities Fund, el Global Multi-Asset Fund, el Global Sustainable Equity Fund, el Sustainable Future Technologies Fund, el US Sustainable Equity Fund y los Fondos de Bonos.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153</w:t>
              <w:br/>
            </w:r>
            <w:r>
              <w:rPr>
                <w:noProof/>
                <w:sz w:val="2"/>
              </w:rPr>
              <w:t>c80b7fd7-29d9-45bf-8626-1a7eaa3d5e9a</w:t>
            </w:r>
          </w:p>
        </w:tc>
        <w:tc>
          <w:tcPr>
            <w:tcW w:w="360" w:type="dxa"/>
            <w:shd w:val="clear" w:color="auto" w:fill="F2F2F2"/>
          </w:tcPr>
          <w:p w:rsidR="00A77B3E">
            <w:pPr>
              <w:pStyle w:val="mqeng"/>
              <w:jc w:val="left"/>
            </w:pPr>
            <w:r>
              <w:rPr>
                <w:noProof/>
              </w:rPr>
              <w:t>More details of the Performance Fees are included in the section ‘Fees, Charges and Expenses’ of this Prospectus.</w:t>
            </w:r>
          </w:p>
        </w:tc>
        <w:tc>
          <w:tcPr>
            <w:tcW w:w="360" w:type="dxa"/>
            <w:shd w:val="clear" w:color="auto" w:fill="auto"/>
          </w:tcPr>
          <w:p w:rsidR="00A77B3E">
            <w:pPr>
              <w:pStyle w:val="mqspa"/>
              <w:jc w:val="left"/>
            </w:pPr>
            <w:r>
              <w:rPr>
                <w:noProof w:val="0"/>
              </w:rPr>
              <w:t>Más detalles de las Comisiones de rentabilidad se incluyen en el apartado «Comisiones de rentabilidad, las comisiones y gastos» de este Folleto informativo.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154</w:t>
              <w:br/>
            </w:r>
            <w:r>
              <w:rPr>
                <w:noProof/>
                <w:sz w:val="2"/>
              </w:rPr>
              <w:t>401a5c87-c166-4488-8986-6e29b9e966b7</w:t>
            </w:r>
          </w:p>
        </w:tc>
        <w:tc>
          <w:tcPr>
            <w:tcW w:w="360" w:type="dxa"/>
            <w:shd w:val="clear" w:color="auto" w:fill="F2F2F2"/>
          </w:tcPr>
          <w:p w:rsidR="00A77B3E">
            <w:pPr>
              <w:pStyle w:val="mqeng"/>
              <w:jc w:val="left"/>
            </w:pPr>
            <w:r>
              <w:rPr>
                <w:noProof/>
              </w:rPr>
              <w:t>A shareholder servicing fee is payable to a Principal Distributor in respect of Class A, Class F, Class H, Class SA, Class SB, Class T and Class X Shares.</w:t>
            </w:r>
          </w:p>
        </w:tc>
        <w:tc>
          <w:tcPr>
            <w:tcW w:w="360" w:type="dxa"/>
            <w:shd w:val="clear" w:color="auto" w:fill="auto"/>
          </w:tcPr>
          <w:p w:rsidR="00A77B3E">
            <w:pPr>
              <w:pStyle w:val="mqspa"/>
              <w:jc w:val="left"/>
            </w:pPr>
            <w:r>
              <w:rPr>
                <w:noProof w:val="0"/>
              </w:rPr>
              <w:t>Se pagará una tarifa de servicio a los Accionistas a una Entidad Comercializadora principal en relación con las Acciones de Clase A, Clase F, Clase H, Clase SA, Clase SB, Clase T y Clase X.</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155</w:t>
              <w:br/>
            </w:r>
            <w:r>
              <w:rPr>
                <w:noProof/>
                <w:sz w:val="2"/>
              </w:rPr>
              <w:t>61b8a0b6-a952-4c94-865e-c21e600c04ab</w:t>
            </w:r>
          </w:p>
        </w:tc>
        <w:tc>
          <w:tcPr>
            <w:tcW w:w="360" w:type="dxa"/>
            <w:shd w:val="clear" w:color="auto" w:fill="F2F2F2"/>
          </w:tcPr>
          <w:p w:rsidR="00A77B3E">
            <w:pPr>
              <w:pStyle w:val="mqeng"/>
              <w:jc w:val="left"/>
            </w:pPr>
            <w:r>
              <w:rPr>
                <w:noProof/>
              </w:rPr>
              <w:t>No shareholder servicing fees are payable in respect of all other Share Classes.</w:t>
            </w:r>
          </w:p>
        </w:tc>
        <w:tc>
          <w:tcPr>
            <w:tcW w:w="360" w:type="dxa"/>
            <w:shd w:val="clear" w:color="auto" w:fill="auto"/>
          </w:tcPr>
          <w:p w:rsidR="00A77B3E">
            <w:pPr>
              <w:pStyle w:val="mqspa"/>
              <w:jc w:val="left"/>
            </w:pPr>
            <w:r>
              <w:rPr>
                <w:noProof w:val="0"/>
              </w:rPr>
              <w:t>No se pagan tarifas de servicio a los accionistas con respecto a todas las demás Clases de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156</w:t>
              <w:br/>
            </w:r>
            <w:r>
              <w:rPr>
                <w:noProof/>
                <w:sz w:val="2"/>
              </w:rPr>
              <w:t>753f494b-26fb-4225-a166-90aa1cdc2a54</w:t>
            </w:r>
          </w:p>
        </w:tc>
        <w:tc>
          <w:tcPr>
            <w:tcW w:w="360" w:type="dxa"/>
            <w:shd w:val="clear" w:color="auto" w:fill="F2F2F2"/>
          </w:tcPr>
          <w:p w:rsidR="00A77B3E">
            <w:pPr>
              <w:pStyle w:val="mqeng"/>
              <w:jc w:val="left"/>
            </w:pPr>
            <w:r>
              <w:rPr>
                <w:noProof/>
              </w:rPr>
              <w:t>The shareholder servicing fee varies between the Funds and Share Classes.</w:t>
            </w:r>
          </w:p>
        </w:tc>
        <w:tc>
          <w:tcPr>
            <w:tcW w:w="360" w:type="dxa"/>
            <w:shd w:val="clear" w:color="auto" w:fill="auto"/>
          </w:tcPr>
          <w:p w:rsidR="00A77B3E">
            <w:pPr>
              <w:pStyle w:val="mqspa"/>
              <w:jc w:val="left"/>
            </w:pPr>
            <w:r>
              <w:rPr>
                <w:noProof w:val="0"/>
              </w:rPr>
              <w:t>La tarifa de servicio para accionistas varía entre los Fondos y las Clases de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157</w:t>
              <w:br/>
            </w:r>
            <w:r>
              <w:rPr>
                <w:noProof/>
                <w:sz w:val="2"/>
              </w:rPr>
              <w:t>b8bbc4be-ed22-446a-bddc-33e7d1ce72b1</w:t>
            </w:r>
          </w:p>
        </w:tc>
        <w:tc>
          <w:tcPr>
            <w:tcW w:w="360" w:type="dxa"/>
            <w:shd w:val="clear" w:color="auto" w:fill="F2F2F2"/>
          </w:tcPr>
          <w:p w:rsidR="00A77B3E">
            <w:pPr>
              <w:pStyle w:val="mqeng"/>
              <w:jc w:val="left"/>
            </w:pPr>
            <w:r>
              <w:rPr>
                <w:noProof/>
              </w:rPr>
              <w:t>More details regarding the shareholder servicing fees are included in the section ‘Fees, Charges and Expenses’ of this Prospectus.</w:t>
            </w:r>
          </w:p>
        </w:tc>
        <w:tc>
          <w:tcPr>
            <w:tcW w:w="360" w:type="dxa"/>
            <w:shd w:val="clear" w:color="auto" w:fill="auto"/>
          </w:tcPr>
          <w:p w:rsidR="00A77B3E">
            <w:pPr>
              <w:pStyle w:val="mqspa"/>
              <w:jc w:val="left"/>
            </w:pPr>
            <w:r>
              <w:rPr>
                <w:noProof w:val="0"/>
              </w:rPr>
              <w:t>La información más detallada sobre las comisiones de gestión y gastos para los accionistas se incluye en el apartado «Comisiones de gestión y gastos» de este Folleto informativo.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158</w:t>
              <w:br/>
            </w:r>
            <w:r>
              <w:rPr>
                <w:noProof/>
                <w:sz w:val="2"/>
              </w:rPr>
              <w:t>3a9b6dcf-01d8-4ec1-adc8-995ef6fce8c7</w:t>
            </w:r>
          </w:p>
        </w:tc>
        <w:tc>
          <w:tcPr>
            <w:tcW w:w="360" w:type="dxa"/>
            <w:shd w:val="clear" w:color="auto" w:fill="F2F2F2"/>
          </w:tcPr>
          <w:p w:rsidR="00A77B3E">
            <w:pPr>
              <w:pStyle w:val="mqeng"/>
              <w:jc w:val="left"/>
            </w:pPr>
            <w:r>
              <w:rPr>
                <w:noProof/>
              </w:rPr>
              <w:t>Further, a distribution fee at the annual rate of 0.6% per annum for the Regional and Specialist Funds and 0.35% per annum for the Bond Funds of the Fund’s average daily total net assets is payable to the Authorised Distributor in respect of Class X Shares in compensation for providing distribution-related services to the Funds in respect of these Shares.</w:t>
            </w:r>
          </w:p>
        </w:tc>
        <w:tc>
          <w:tcPr>
            <w:tcW w:w="360" w:type="dxa"/>
            <w:shd w:val="clear" w:color="auto" w:fill="auto"/>
          </w:tcPr>
          <w:p w:rsidR="00A77B3E">
            <w:pPr>
              <w:pStyle w:val="mqspa"/>
              <w:jc w:val="left"/>
            </w:pPr>
            <w:r>
              <w:rPr>
                <w:noProof w:val="0"/>
              </w:rPr>
              <w:t>Además, se pagará una comisión de distribución al tipo anual del 0,6% anual para los Fondos Regional y Specialist Funds y del 0,35% anual para los Fondos de Bonos sobre el patrimonio neto total medio diario del Fondo a la Autoridad Distribuidora en relación con las Acciones de Clase X como compensación por proporcionar servicios relacionados con la distribución a los Fondos en relación con estas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159</w:t>
              <w:br/>
            </w:r>
            <w:r>
              <w:rPr>
                <w:noProof/>
                <w:sz w:val="2"/>
              </w:rPr>
              <w:t>9fbc3933-97dc-40d3-a290-53d6305ea148</w:t>
            </w:r>
          </w:p>
        </w:tc>
        <w:tc>
          <w:tcPr>
            <w:tcW w:w="360" w:type="dxa"/>
            <w:shd w:val="clear" w:color="auto" w:fill="F2F2F2"/>
          </w:tcPr>
          <w:p w:rsidR="00A77B3E">
            <w:pPr>
              <w:pStyle w:val="mqeng"/>
              <w:jc w:val="left"/>
            </w:pPr>
            <w:r>
              <w:rPr>
                <w:noProof/>
              </w:rPr>
              <w:t>A distribution fee at the annual rate of 1.0% per annum is payable for all Funds in respect of Class T Shares for providing distribution-related services to the Funds in respect of these Shares.</w:t>
            </w:r>
          </w:p>
        </w:tc>
        <w:tc>
          <w:tcPr>
            <w:tcW w:w="360" w:type="dxa"/>
            <w:shd w:val="clear" w:color="auto" w:fill="auto"/>
          </w:tcPr>
          <w:p w:rsidR="00A77B3E">
            <w:pPr>
              <w:pStyle w:val="mqspa"/>
              <w:jc w:val="left"/>
            </w:pPr>
            <w:r>
              <w:rPr>
                <w:noProof w:val="0"/>
              </w:rPr>
              <w:t>Se paga una comisión de distribución al tipo anual del 1,0% anual para todos los Fondos en relación con las Acciones de Clase T por proporcionar servicios de distribución relacionados a los Fondos en relación con estas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160</w:t>
              <w:br/>
            </w:r>
            <w:r>
              <w:rPr>
                <w:noProof/>
                <w:sz w:val="2"/>
              </w:rPr>
              <w:t>ae510307-34a3-4e53-a0ab-78f8feb3c285</w:t>
            </w:r>
          </w:p>
        </w:tc>
        <w:tc>
          <w:tcPr>
            <w:tcW w:w="360" w:type="dxa"/>
            <w:shd w:val="clear" w:color="auto" w:fill="F2F2F2"/>
          </w:tcPr>
          <w:p w:rsidR="00A77B3E">
            <w:pPr>
              <w:pStyle w:val="mqeng"/>
              <w:jc w:val="left"/>
            </w:pPr>
            <w:r>
              <w:rPr>
                <w:noProof/>
              </w:rPr>
              <w:t>In addition to the charges described above, each Fund itself bears certain expenses, such as depositary and custody fees, administration fees, audit fees, legal fees, registration fees and tax, which are deducted from the total net assets of each Fund.</w:t>
            </w:r>
          </w:p>
        </w:tc>
        <w:tc>
          <w:tcPr>
            <w:tcW w:w="360" w:type="dxa"/>
            <w:shd w:val="clear" w:color="auto" w:fill="auto"/>
          </w:tcPr>
          <w:p w:rsidR="00A77B3E">
            <w:pPr>
              <w:pStyle w:val="mqspa"/>
              <w:jc w:val="left"/>
            </w:pPr>
            <w:r>
              <w:rPr>
                <w:noProof w:val="0"/>
              </w:rPr>
              <w:t>Además de los gastos descritos anteriormente, cada Fondo asume ciertos gastos, como comisiones de depositario y custodia, comisiones de custodia, honorarios de auditoría, honorarios legales, comisiones de registro e impuestos, que se deducen del patrimonio neto total de cada Fondo.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161</w:t>
              <w:br/>
            </w:r>
            <w:r>
              <w:rPr>
                <w:noProof/>
                <w:sz w:val="2"/>
              </w:rPr>
              <w:t>887df420-4579-46fe-a4f9-fb3ce5e70072</w:t>
            </w:r>
          </w:p>
        </w:tc>
        <w:tc>
          <w:tcPr>
            <w:tcW w:w="360" w:type="dxa"/>
            <w:shd w:val="clear" w:color="auto" w:fill="F2F2F2"/>
          </w:tcPr>
          <w:p w:rsidR="00A77B3E">
            <w:pPr>
              <w:pStyle w:val="mqeng"/>
              <w:jc w:val="left"/>
            </w:pPr>
            <w:r>
              <w:rPr>
                <w:noProof/>
              </w:rPr>
              <w:t>These fees vary each year.</w:t>
            </w:r>
          </w:p>
        </w:tc>
        <w:tc>
          <w:tcPr>
            <w:tcW w:w="360" w:type="dxa"/>
            <w:shd w:val="clear" w:color="auto" w:fill="auto"/>
          </w:tcPr>
          <w:p w:rsidR="00A77B3E">
            <w:pPr>
              <w:pStyle w:val="mqspa"/>
              <w:jc w:val="left"/>
            </w:pPr>
            <w:r>
              <w:rPr>
                <w:noProof w:val="0"/>
              </w:rPr>
              <w:t>Estas comisiones varían cada año.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162</w:t>
              <w:br/>
            </w:r>
            <w:r>
              <w:rPr>
                <w:noProof/>
                <w:sz w:val="2"/>
              </w:rPr>
              <w:t>70f4000b-4e03-4835-b39e-76c39167a96f</w:t>
            </w:r>
          </w:p>
        </w:tc>
        <w:tc>
          <w:tcPr>
            <w:tcW w:w="360" w:type="dxa"/>
            <w:shd w:val="clear" w:color="auto" w:fill="F2F2F2"/>
          </w:tcPr>
          <w:p w:rsidR="00A77B3E">
            <w:pPr>
              <w:pStyle w:val="mqeng"/>
              <w:jc w:val="left"/>
            </w:pPr>
            <w:r>
              <w:rPr>
                <w:noProof/>
              </w:rPr>
              <w:t>Different charges and expenses may apply to investors subscribing via an agent or a platform.</w:t>
            </w:r>
          </w:p>
        </w:tc>
        <w:tc>
          <w:tcPr>
            <w:tcW w:w="360" w:type="dxa"/>
            <w:shd w:val="clear" w:color="auto" w:fill="auto"/>
          </w:tcPr>
          <w:p w:rsidR="00A77B3E">
            <w:pPr>
              <w:pStyle w:val="mqspa"/>
              <w:jc w:val="left"/>
            </w:pPr>
            <w:r>
              <w:rPr>
                <w:noProof w:val="0"/>
              </w:rPr>
              <w:t>Se pueden aplicar diferentes gastos y comisiones a los inversores que se suscriben a través de un agente o una plataforma.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163</w:t>
              <w:br/>
            </w:r>
            <w:r>
              <w:rPr>
                <w:noProof/>
                <w:sz w:val="2"/>
              </w:rPr>
              <w:t>7806238e-227e-4071-8e3b-4112ae85263f</w:t>
            </w:r>
          </w:p>
        </w:tc>
        <w:tc>
          <w:tcPr>
            <w:tcW w:w="360" w:type="dxa"/>
            <w:shd w:val="clear" w:color="auto" w:fill="F2F2F2"/>
          </w:tcPr>
          <w:p w:rsidR="00A77B3E">
            <w:pPr>
              <w:pStyle w:val="mqeng"/>
              <w:jc w:val="left"/>
            </w:pPr>
            <w:r>
              <w:rPr>
                <w:noProof/>
              </w:rPr>
              <w:t>Such investors must refer to the terms and conditions of the agent or platform.</w:t>
            </w:r>
          </w:p>
        </w:tc>
        <w:tc>
          <w:tcPr>
            <w:tcW w:w="360" w:type="dxa"/>
            <w:shd w:val="clear" w:color="auto" w:fill="auto"/>
          </w:tcPr>
          <w:p w:rsidR="00A77B3E">
            <w:pPr>
              <w:pStyle w:val="mqspa"/>
              <w:jc w:val="left"/>
            </w:pPr>
            <w:r>
              <w:rPr>
                <w:noProof w:val="0"/>
              </w:rPr>
              <w:t>Dichos inversores deben referirse a los términos y condiciones del agente o plataforma.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164</w:t>
              <w:br/>
            </w:r>
            <w:r>
              <w:rPr>
                <w:noProof/>
                <w:sz w:val="2"/>
              </w:rPr>
              <w:t>635c69d0-a113-40c4-a330-5d90ebc095f2</w:t>
            </w:r>
          </w:p>
        </w:tc>
        <w:tc>
          <w:tcPr>
            <w:tcW w:w="360" w:type="dxa"/>
            <w:shd w:val="clear" w:color="auto" w:fill="F2F2F2"/>
          </w:tcPr>
          <w:p w:rsidR="00A77B3E">
            <w:pPr>
              <w:pStyle w:val="mqeng"/>
              <w:jc w:val="left"/>
            </w:pPr>
            <w:r>
              <w:rPr>
                <w:noProof/>
              </w:rPr>
              <w:t>Definitions</w:t>
            </w:r>
          </w:p>
        </w:tc>
        <w:tc>
          <w:tcPr>
            <w:tcW w:w="360" w:type="dxa"/>
            <w:shd w:val="clear" w:color="auto" w:fill="auto"/>
          </w:tcPr>
          <w:p w:rsidR="00A77B3E">
            <w:pPr>
              <w:pStyle w:val="mqspa"/>
              <w:jc w:val="left"/>
            </w:pPr>
            <w:r>
              <w:rPr>
                <w:noProof w:val="0"/>
              </w:rPr>
              <w:t>Definiciones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165</w:t>
              <w:br/>
            </w:r>
            <w:r>
              <w:rPr>
                <w:noProof/>
                <w:sz w:val="2"/>
              </w:rPr>
              <w:t>a0e6f645-aa98-4fbd-9ccd-3616f08de3c9</w:t>
            </w:r>
          </w:p>
        </w:tc>
        <w:tc>
          <w:tcPr>
            <w:tcW w:w="360" w:type="dxa"/>
            <w:shd w:val="clear" w:color="auto" w:fill="F2F2F2"/>
          </w:tcPr>
          <w:p w:rsidR="00A77B3E">
            <w:pPr>
              <w:pStyle w:val="mqeng"/>
              <w:jc w:val="left"/>
            </w:pPr>
            <w:r>
              <w:rPr>
                <w:b/>
                <w:i w:val="0"/>
                <w:noProof/>
                <w:u w:val="none"/>
                <w:vertAlign w:val="baseline"/>
              </w:rPr>
              <w:t>‘Account Number’</w:t>
            </w:r>
          </w:p>
        </w:tc>
        <w:tc>
          <w:tcPr>
            <w:tcW w:w="360" w:type="dxa"/>
            <w:shd w:val="clear" w:color="auto" w:fill="auto"/>
          </w:tcPr>
          <w:p w:rsidR="00A77B3E">
            <w:pPr>
              <w:pStyle w:val="mqspa"/>
              <w:jc w:val="left"/>
            </w:pPr>
            <w:r>
              <w:rPr>
                <w:b/>
                <w:i w:val="0"/>
                <w:noProof w:val="0"/>
                <w:u w:val="none"/>
                <w:vertAlign w:val="baseline"/>
              </w:rPr>
              <w:t>‘Número de cuenta’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166</w:t>
              <w:br/>
            </w:r>
            <w:r>
              <w:rPr>
                <w:noProof/>
                <w:sz w:val="2"/>
              </w:rPr>
              <w:t>5ae34289-bb2c-461a-bd7b-02f9a02857a6</w:t>
            </w:r>
          </w:p>
        </w:tc>
        <w:tc>
          <w:tcPr>
            <w:tcW w:w="360" w:type="dxa"/>
            <w:shd w:val="clear" w:color="auto" w:fill="F2F2F2"/>
          </w:tcPr>
          <w:p w:rsidR="00A77B3E">
            <w:pPr>
              <w:pStyle w:val="mqeng"/>
              <w:jc w:val="left"/>
            </w:pPr>
            <w:r>
              <w:rPr>
                <w:noProof/>
              </w:rPr>
              <w:t>An account number or register number issued to clients who have previously been approved by the Company through the Registrar and Transfer Agent.</w:t>
            </w:r>
          </w:p>
        </w:tc>
        <w:tc>
          <w:tcPr>
            <w:tcW w:w="360" w:type="dxa"/>
            <w:shd w:val="clear" w:color="auto" w:fill="auto"/>
          </w:tcPr>
          <w:p w:rsidR="00A77B3E">
            <w:pPr>
              <w:pStyle w:val="mqspa"/>
              <w:jc w:val="left"/>
            </w:pPr>
            <w:r>
              <w:rPr>
                <w:noProof w:val="0"/>
              </w:rPr>
              <w:t>Un número de cuenta o número de registro emitido a clientes que han sido previamente aprobados por la Sociedad a través del Agente de Registro y Transferencias.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167</w:t>
              <w:br/>
            </w:r>
            <w:r>
              <w:rPr>
                <w:noProof/>
                <w:sz w:val="2"/>
              </w:rPr>
              <w:t>636decb6-bc6f-468d-b93b-4d0fb84919dc</w:t>
            </w:r>
          </w:p>
        </w:tc>
        <w:tc>
          <w:tcPr>
            <w:tcW w:w="360" w:type="dxa"/>
            <w:shd w:val="clear" w:color="auto" w:fill="F2F2F2"/>
          </w:tcPr>
          <w:p w:rsidR="00A77B3E">
            <w:pPr>
              <w:pStyle w:val="mqeng"/>
              <w:jc w:val="left"/>
            </w:pPr>
            <w:r>
              <w:rPr>
                <w:b/>
                <w:i w:val="0"/>
                <w:noProof/>
                <w:u w:val="none"/>
                <w:vertAlign w:val="baseline"/>
              </w:rPr>
              <w:t>‘Accumulation Shares’ or ‘sub-class 2 Shares’</w:t>
            </w:r>
          </w:p>
        </w:tc>
        <w:tc>
          <w:tcPr>
            <w:tcW w:w="360" w:type="dxa"/>
            <w:shd w:val="clear" w:color="auto" w:fill="auto"/>
          </w:tcPr>
          <w:p w:rsidR="00A77B3E">
            <w:pPr>
              <w:pStyle w:val="mqspa"/>
              <w:jc w:val="left"/>
            </w:pPr>
            <w:r>
              <w:rPr>
                <w:b/>
                <w:i w:val="0"/>
                <w:noProof w:val="0"/>
                <w:u w:val="none"/>
                <w:vertAlign w:val="baseline"/>
              </w:rPr>
              <w:t>‘Acciones de capitalización’ o ‘subclase 2 de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168</w:t>
              <w:br/>
            </w:r>
            <w:r>
              <w:rPr>
                <w:noProof/>
                <w:sz w:val="2"/>
              </w:rPr>
              <w:t>9c0d7aa5-09c4-40f1-9223-8b2aea585fcc</w:t>
            </w:r>
          </w:p>
        </w:tc>
        <w:tc>
          <w:tcPr>
            <w:tcW w:w="360" w:type="dxa"/>
            <w:shd w:val="clear" w:color="auto" w:fill="F2F2F2"/>
          </w:tcPr>
          <w:p w:rsidR="00A77B3E">
            <w:pPr>
              <w:pStyle w:val="mqeng"/>
              <w:jc w:val="left"/>
            </w:pPr>
            <w:r>
              <w:rPr>
                <w:noProof/>
              </w:rPr>
              <w:t>Class of Shares that do not entitle the Shareholder to the distribution of gross income and net realised and unrealised capital gains, which are accumulated instead.</w:t>
            </w:r>
          </w:p>
        </w:tc>
        <w:tc>
          <w:tcPr>
            <w:tcW w:w="360" w:type="dxa"/>
            <w:shd w:val="clear" w:color="auto" w:fill="auto"/>
          </w:tcPr>
          <w:p w:rsidR="00A77B3E">
            <w:pPr>
              <w:pStyle w:val="mqspa"/>
              <w:jc w:val="left"/>
            </w:pPr>
            <w:r>
              <w:rPr>
                <w:noProof w:val="0"/>
              </w:rPr>
              <w:t>Clase de acciones que no otorgan al Accionista derecho a la distribución de los ingresos brutos y plusvalías netas realizadas y no realizadas, las cuales se acumulan en su lugar.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169</w:t>
              <w:br/>
            </w:r>
            <w:r>
              <w:rPr>
                <w:noProof/>
                <w:sz w:val="2"/>
              </w:rPr>
              <w:t>4d244315-9ce9-4ef0-8285-01d1febed192</w:t>
            </w:r>
          </w:p>
        </w:tc>
        <w:tc>
          <w:tcPr>
            <w:tcW w:w="360" w:type="dxa"/>
            <w:shd w:val="clear" w:color="auto" w:fill="F2F2F2"/>
          </w:tcPr>
          <w:p w:rsidR="00A77B3E">
            <w:pPr>
              <w:pStyle w:val="mqeng"/>
              <w:jc w:val="left"/>
            </w:pPr>
            <w:r>
              <w:rPr>
                <w:b/>
                <w:i w:val="0"/>
                <w:noProof/>
                <w:u w:val="none"/>
                <w:vertAlign w:val="baseline"/>
              </w:rPr>
              <w:t>‘Administrator’</w:t>
            </w:r>
          </w:p>
        </w:tc>
        <w:tc>
          <w:tcPr>
            <w:tcW w:w="360" w:type="dxa"/>
            <w:shd w:val="clear" w:color="auto" w:fill="auto"/>
          </w:tcPr>
          <w:p w:rsidR="00A77B3E">
            <w:pPr>
              <w:pStyle w:val="mqspa"/>
              <w:jc w:val="left"/>
            </w:pPr>
            <w:r>
              <w:rPr>
                <w:b/>
                <w:i w:val="0"/>
                <w:noProof w:val="0"/>
                <w:u w:val="none"/>
                <w:vertAlign w:val="baseline"/>
              </w:rPr>
              <w:t>‘Administrador’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170</w:t>
              <w:br/>
            </w:r>
            <w:r>
              <w:rPr>
                <w:noProof/>
                <w:sz w:val="2"/>
              </w:rPr>
              <w:t>11a8f26f-cc6a-41c2-aa74-80083fefe10d</w:t>
            </w:r>
          </w:p>
        </w:tc>
        <w:tc>
          <w:tcPr>
            <w:tcW w:w="360" w:type="dxa"/>
            <w:shd w:val="clear" w:color="auto" w:fill="F2F2F2"/>
          </w:tcPr>
          <w:p w:rsidR="00A77B3E">
            <w:pPr>
              <w:pStyle w:val="mqeng"/>
              <w:jc w:val="left"/>
            </w:pPr>
            <w:r>
              <w:rPr>
                <w:noProof/>
              </w:rPr>
              <w:t>BNP Paribas, Luxembourg Branch.</w:t>
            </w:r>
          </w:p>
        </w:tc>
        <w:tc>
          <w:tcPr>
            <w:tcW w:w="360" w:type="dxa"/>
            <w:shd w:val="clear" w:color="auto" w:fill="auto"/>
          </w:tcPr>
          <w:p w:rsidR="00A77B3E">
            <w:pPr>
              <w:pStyle w:val="mqspa"/>
              <w:jc w:val="left"/>
            </w:pPr>
            <w:r>
              <w:rPr>
                <w:noProof w:val="0"/>
              </w:rPr>
              <w:t>BNP Paribas, Luxembourg Branch.</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171</w:t>
              <w:br/>
            </w:r>
            <w:r>
              <w:rPr>
                <w:noProof/>
                <w:sz w:val="2"/>
              </w:rPr>
              <w:t>3f8d6712-63d4-42a4-8a7c-87e0540d4e27</w:t>
            </w:r>
          </w:p>
        </w:tc>
        <w:tc>
          <w:tcPr>
            <w:tcW w:w="360" w:type="dxa"/>
            <w:shd w:val="clear" w:color="auto" w:fill="F2F2F2"/>
          </w:tcPr>
          <w:p w:rsidR="00A77B3E">
            <w:pPr>
              <w:pStyle w:val="mqeng"/>
              <w:jc w:val="left"/>
            </w:pPr>
            <w:r>
              <w:rPr>
                <w:b/>
                <w:i w:val="0"/>
                <w:noProof/>
                <w:u w:val="none"/>
                <w:vertAlign w:val="baseline"/>
              </w:rPr>
              <w:t>Application Form</w:t>
            </w:r>
          </w:p>
        </w:tc>
        <w:tc>
          <w:tcPr>
            <w:tcW w:w="360" w:type="dxa"/>
            <w:shd w:val="clear" w:color="auto" w:fill="auto"/>
          </w:tcPr>
          <w:p w:rsidR="00A77B3E">
            <w:pPr>
              <w:pStyle w:val="mqspa"/>
              <w:jc w:val="left"/>
            </w:pPr>
            <w:r>
              <w:rPr>
                <w:b/>
                <w:i w:val="0"/>
                <w:noProof w:val="0"/>
                <w:u w:val="none"/>
                <w:vertAlign w:val="baseline"/>
              </w:rPr>
              <w:t>«formulario de solicitud»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172</w:t>
              <w:br/>
            </w:r>
            <w:r>
              <w:rPr>
                <w:noProof/>
                <w:sz w:val="2"/>
              </w:rPr>
              <w:t>73c8b4f2-45a0-446c-b885-9abce1fa53fc</w:t>
            </w:r>
          </w:p>
        </w:tc>
        <w:tc>
          <w:tcPr>
            <w:tcW w:w="360" w:type="dxa"/>
            <w:shd w:val="clear" w:color="auto" w:fill="F2F2F2"/>
          </w:tcPr>
          <w:p w:rsidR="00A77B3E">
            <w:pPr>
              <w:pStyle w:val="mqeng"/>
              <w:jc w:val="left"/>
            </w:pPr>
            <w:r>
              <w:rPr>
                <w:noProof/>
              </w:rPr>
              <w:t>Any application form provided by the Registrar and Transfer Agent or the Authorised Distributors to be completed by subscribers for Shares.</w:t>
            </w:r>
          </w:p>
        </w:tc>
        <w:tc>
          <w:tcPr>
            <w:tcW w:w="360" w:type="dxa"/>
            <w:shd w:val="clear" w:color="auto" w:fill="auto"/>
          </w:tcPr>
          <w:p w:rsidR="00A77B3E">
            <w:pPr>
              <w:pStyle w:val="mqspa"/>
              <w:jc w:val="left"/>
            </w:pPr>
            <w:r>
              <w:rPr>
                <w:noProof w:val="0"/>
              </w:rPr>
              <w:t>Cualquier formulario de solicitud proporcionado por el Agente de Registro y Transferencia o los Distribuidores Autorizados que debe ser completado por los suscriptores de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173</w:t>
              <w:br/>
            </w:r>
            <w:r>
              <w:rPr>
                <w:noProof/>
                <w:sz w:val="2"/>
              </w:rPr>
              <w:t>cc8c9615-d8e6-4241-b29a-7c4d4f2d7be8</w:t>
            </w:r>
          </w:p>
        </w:tc>
        <w:tc>
          <w:tcPr>
            <w:tcW w:w="360" w:type="dxa"/>
            <w:shd w:val="clear" w:color="auto" w:fill="F2F2F2"/>
          </w:tcPr>
          <w:p w:rsidR="00A77B3E">
            <w:pPr>
              <w:pStyle w:val="mqeng"/>
              <w:jc w:val="left"/>
            </w:pPr>
            <w:r>
              <w:rPr>
                <w:b/>
                <w:i w:val="0"/>
                <w:noProof/>
                <w:u w:val="none"/>
                <w:vertAlign w:val="baseline"/>
              </w:rPr>
              <w:t>‘Articles’</w:t>
            </w:r>
          </w:p>
        </w:tc>
        <w:tc>
          <w:tcPr>
            <w:tcW w:w="360" w:type="dxa"/>
            <w:shd w:val="clear" w:color="auto" w:fill="auto"/>
          </w:tcPr>
          <w:p w:rsidR="00A77B3E">
            <w:pPr>
              <w:pStyle w:val="mqspa"/>
              <w:jc w:val="left"/>
            </w:pPr>
            <w:r>
              <w:rPr>
                <w:b/>
                <w:i w:val="0"/>
                <w:noProof w:val="0"/>
                <w:u w:val="none"/>
                <w:vertAlign w:val="baseline"/>
              </w:rPr>
              <w:t>«Estatutos»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174</w:t>
              <w:br/>
            </w:r>
            <w:r>
              <w:rPr>
                <w:noProof/>
                <w:sz w:val="2"/>
              </w:rPr>
              <w:t>a7b5f902-1f46-4ddf-a733-48bccc4277b5</w:t>
            </w:r>
          </w:p>
        </w:tc>
        <w:tc>
          <w:tcPr>
            <w:tcW w:w="360" w:type="dxa"/>
            <w:shd w:val="clear" w:color="auto" w:fill="F2F2F2"/>
          </w:tcPr>
          <w:p w:rsidR="00A77B3E">
            <w:pPr>
              <w:pStyle w:val="mqeng"/>
              <w:jc w:val="left"/>
            </w:pPr>
            <w:r>
              <w:rPr>
                <w:noProof/>
              </w:rPr>
              <w:t>The Articles of Incorporation of the Company.</w:t>
            </w:r>
          </w:p>
        </w:tc>
        <w:tc>
          <w:tcPr>
            <w:tcW w:w="360" w:type="dxa"/>
            <w:shd w:val="clear" w:color="auto" w:fill="auto"/>
          </w:tcPr>
          <w:p w:rsidR="00A77B3E">
            <w:pPr>
              <w:pStyle w:val="mqspa"/>
              <w:jc w:val="left"/>
            </w:pPr>
            <w:r>
              <w:rPr>
                <w:noProof w:val="0"/>
              </w:rPr>
              <w:t>Los Estatutos de la Sociedad.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175</w:t>
              <w:br/>
            </w:r>
            <w:r>
              <w:rPr>
                <w:noProof/>
                <w:sz w:val="2"/>
              </w:rPr>
              <w:t>542a4003-f23a-470a-9821-114e8dc53611</w:t>
            </w:r>
          </w:p>
        </w:tc>
        <w:tc>
          <w:tcPr>
            <w:tcW w:w="360" w:type="dxa"/>
            <w:shd w:val="clear" w:color="auto" w:fill="F2F2F2"/>
          </w:tcPr>
          <w:p w:rsidR="00A77B3E">
            <w:pPr>
              <w:pStyle w:val="mqeng"/>
              <w:jc w:val="left"/>
            </w:pPr>
            <w:r>
              <w:rPr>
                <w:b/>
                <w:i w:val="0"/>
                <w:noProof/>
                <w:u w:val="none"/>
                <w:vertAlign w:val="baseline"/>
              </w:rPr>
              <w:t>‘Auditors’</w:t>
            </w:r>
          </w:p>
        </w:tc>
        <w:tc>
          <w:tcPr>
            <w:tcW w:w="360" w:type="dxa"/>
            <w:shd w:val="clear" w:color="auto" w:fill="auto"/>
          </w:tcPr>
          <w:p w:rsidR="00A77B3E">
            <w:pPr>
              <w:pStyle w:val="mqspa"/>
              <w:jc w:val="left"/>
            </w:pPr>
            <w:r>
              <w:rPr>
                <w:b/>
                <w:i w:val="0"/>
                <w:noProof w:val="0"/>
                <w:u w:val="none"/>
                <w:vertAlign w:val="baseline"/>
              </w:rPr>
              <w:t>‘Auditores’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176</w:t>
              <w:br/>
            </w:r>
            <w:r>
              <w:rPr>
                <w:noProof/>
                <w:sz w:val="2"/>
              </w:rPr>
              <w:t>efae5f70-8dcd-42df-831b-7cb60ec823b9</w:t>
            </w:r>
          </w:p>
        </w:tc>
        <w:tc>
          <w:tcPr>
            <w:tcW w:w="360" w:type="dxa"/>
            <w:shd w:val="clear" w:color="auto" w:fill="F2F2F2"/>
          </w:tcPr>
          <w:p w:rsidR="00A77B3E">
            <w:pPr>
              <w:pStyle w:val="mqeng"/>
              <w:jc w:val="left"/>
            </w:pPr>
            <w:r>
              <w:rPr>
                <w:noProof/>
              </w:rPr>
              <w:t>PricewaterhouseCoopers, Société cooperative.</w:t>
            </w:r>
          </w:p>
        </w:tc>
        <w:tc>
          <w:tcPr>
            <w:tcW w:w="360" w:type="dxa"/>
            <w:shd w:val="clear" w:color="auto" w:fill="auto"/>
          </w:tcPr>
          <w:p w:rsidR="00A77B3E">
            <w:pPr>
              <w:pStyle w:val="mqspa"/>
              <w:jc w:val="left"/>
            </w:pPr>
            <w:r>
              <w:rPr>
                <w:noProof w:val="0"/>
              </w:rPr>
              <w:t>PricewaterhouseCoopers, Société cooperative.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177</w:t>
              <w:br/>
            </w:r>
            <w:r>
              <w:rPr>
                <w:noProof/>
                <w:sz w:val="2"/>
              </w:rPr>
              <w:t>07baece6-eff9-4e45-9cc0-e8750b9727e5</w:t>
            </w:r>
          </w:p>
        </w:tc>
        <w:tc>
          <w:tcPr>
            <w:tcW w:w="360" w:type="dxa"/>
            <w:shd w:val="clear" w:color="auto" w:fill="F2F2F2"/>
          </w:tcPr>
          <w:p w:rsidR="00A77B3E">
            <w:pPr>
              <w:pStyle w:val="mqeng"/>
              <w:jc w:val="left"/>
            </w:pPr>
            <w:r>
              <w:rPr>
                <w:b/>
                <w:i w:val="0"/>
                <w:noProof/>
                <w:u w:val="none"/>
                <w:vertAlign w:val="baseline"/>
              </w:rPr>
              <w:t>‘Authorised Distributors’</w:t>
            </w:r>
          </w:p>
        </w:tc>
        <w:tc>
          <w:tcPr>
            <w:tcW w:w="360" w:type="dxa"/>
            <w:shd w:val="clear" w:color="auto" w:fill="auto"/>
          </w:tcPr>
          <w:p w:rsidR="00A77B3E">
            <w:pPr>
              <w:pStyle w:val="mqspa"/>
              <w:jc w:val="left"/>
            </w:pPr>
            <w:r>
              <w:rPr>
                <w:b/>
                <w:i w:val="0"/>
                <w:noProof w:val="0"/>
                <w:u w:val="none"/>
                <w:vertAlign w:val="baseline"/>
              </w:rPr>
              <w:t>‘Distribuidores autorizados’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178</w:t>
              <w:br/>
            </w:r>
            <w:r>
              <w:rPr>
                <w:noProof/>
                <w:sz w:val="2"/>
              </w:rPr>
              <w:t>fbbc9014-7f83-47e6-a2e2-994e6b00e31b</w:t>
            </w:r>
          </w:p>
        </w:tc>
        <w:tc>
          <w:tcPr>
            <w:tcW w:w="360" w:type="dxa"/>
            <w:shd w:val="clear" w:color="auto" w:fill="F2F2F2"/>
          </w:tcPr>
          <w:p w:rsidR="00A77B3E">
            <w:pPr>
              <w:pStyle w:val="mqeng"/>
              <w:jc w:val="left"/>
            </w:pPr>
            <w:r>
              <w:rPr>
                <w:noProof/>
              </w:rPr>
              <w:t>The Principal Distributors and the distributors appointed by a Principal Distributor to procure sales of the Shares.</w:t>
            </w:r>
          </w:p>
        </w:tc>
        <w:tc>
          <w:tcPr>
            <w:tcW w:w="360" w:type="dxa"/>
            <w:shd w:val="clear" w:color="auto" w:fill="auto"/>
          </w:tcPr>
          <w:p w:rsidR="00A77B3E">
            <w:pPr>
              <w:pStyle w:val="mqspa"/>
              <w:jc w:val="left"/>
            </w:pPr>
            <w:r>
              <w:rPr>
                <w:noProof w:val="0"/>
              </w:rPr>
              <w:t>Las Entidades Comercializadoras principales y los distribuidores designados por una Entidad Comercializadora principal para procurar la venta de las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179</w:t>
              <w:br/>
            </w:r>
            <w:r>
              <w:rPr>
                <w:noProof/>
                <w:sz w:val="2"/>
              </w:rPr>
              <w:t>89619e2f-fa36-4346-b32e-31d8ae83b9d2</w:t>
            </w:r>
          </w:p>
        </w:tc>
        <w:tc>
          <w:tcPr>
            <w:tcW w:w="360" w:type="dxa"/>
            <w:shd w:val="clear" w:color="auto" w:fill="F2F2F2"/>
          </w:tcPr>
          <w:p w:rsidR="00A77B3E">
            <w:pPr>
              <w:pStyle w:val="mqeng"/>
              <w:jc w:val="left"/>
            </w:pPr>
            <w:r>
              <w:rPr>
                <w:b/>
                <w:i w:val="0"/>
                <w:noProof/>
                <w:u w:val="none"/>
                <w:vertAlign w:val="baseline"/>
              </w:rPr>
              <w:t>‘Base Currency’</w:t>
            </w:r>
          </w:p>
        </w:tc>
        <w:tc>
          <w:tcPr>
            <w:tcW w:w="360" w:type="dxa"/>
            <w:shd w:val="clear" w:color="auto" w:fill="auto"/>
          </w:tcPr>
          <w:p w:rsidR="00A77B3E">
            <w:pPr>
              <w:pStyle w:val="mqspa"/>
              <w:jc w:val="left"/>
            </w:pPr>
            <w:r>
              <w:rPr>
                <w:b/>
                <w:i w:val="0"/>
                <w:noProof w:val="0"/>
                <w:u w:val="none"/>
                <w:vertAlign w:val="baseline"/>
              </w:rPr>
              <w:t>‘Divisa base’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180</w:t>
              <w:br/>
            </w:r>
            <w:r>
              <w:rPr>
                <w:noProof/>
                <w:sz w:val="2"/>
              </w:rPr>
              <w:t>8ed15f3f-eab6-4b98-9371-d450139724d8</w:t>
            </w:r>
          </w:p>
        </w:tc>
        <w:tc>
          <w:tcPr>
            <w:tcW w:w="360" w:type="dxa"/>
            <w:shd w:val="clear" w:color="auto" w:fill="F2F2F2"/>
          </w:tcPr>
          <w:p w:rsidR="00A77B3E">
            <w:pPr>
              <w:pStyle w:val="mqeng"/>
              <w:jc w:val="left"/>
            </w:pPr>
            <w:r>
              <w:rPr>
                <w:noProof/>
              </w:rPr>
              <w:t>The base currency for each of the Funds and currency in which the financial reports are prepared for each Fund.</w:t>
            </w:r>
          </w:p>
        </w:tc>
        <w:tc>
          <w:tcPr>
            <w:tcW w:w="360" w:type="dxa"/>
            <w:shd w:val="clear" w:color="auto" w:fill="auto"/>
          </w:tcPr>
          <w:p w:rsidR="00A77B3E">
            <w:pPr>
              <w:pStyle w:val="mqspa"/>
              <w:jc w:val="left"/>
            </w:pPr>
            <w:r>
              <w:rPr>
                <w:noProof w:val="0"/>
              </w:rPr>
              <w:t>La divisa base para cada uno de los Fondos y las divisas en las que se preparan los informes financieros para cada Fondo.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181</w:t>
              <w:br/>
            </w:r>
            <w:r>
              <w:rPr>
                <w:noProof/>
                <w:sz w:val="2"/>
              </w:rPr>
              <w:t>4f9ec3d1-53eb-4d12-88c3-e2f2220a5f54</w:t>
            </w:r>
          </w:p>
        </w:tc>
        <w:tc>
          <w:tcPr>
            <w:tcW w:w="360" w:type="dxa"/>
            <w:shd w:val="clear" w:color="auto" w:fill="F2F2F2"/>
          </w:tcPr>
          <w:p w:rsidR="00A77B3E">
            <w:pPr>
              <w:pStyle w:val="mqeng"/>
              <w:jc w:val="left"/>
            </w:pPr>
            <w:r>
              <w:rPr>
                <w:b/>
                <w:i w:val="0"/>
                <w:noProof/>
                <w:u w:val="none"/>
                <w:vertAlign w:val="baseline"/>
              </w:rPr>
              <w:t>‘Bond Connect Program’</w:t>
            </w:r>
          </w:p>
        </w:tc>
        <w:tc>
          <w:tcPr>
            <w:tcW w:w="360" w:type="dxa"/>
            <w:shd w:val="clear" w:color="auto" w:fill="auto"/>
          </w:tcPr>
          <w:p w:rsidR="00A77B3E">
            <w:pPr>
              <w:pStyle w:val="mqspa"/>
              <w:jc w:val="left"/>
            </w:pPr>
            <w:r>
              <w:rPr>
                <w:b/>
                <w:i w:val="0"/>
                <w:noProof w:val="0"/>
                <w:u w:val="none"/>
                <w:vertAlign w:val="baseline"/>
              </w:rPr>
              <w:t>Programa Bond Connect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182</w:t>
              <w:br/>
            </w:r>
            <w:r>
              <w:rPr>
                <w:noProof/>
                <w:sz w:val="2"/>
              </w:rPr>
              <w:t>756d0e61-dd28-46b8-a3e8-35cfd80ff007</w:t>
            </w:r>
          </w:p>
        </w:tc>
        <w:tc>
          <w:tcPr>
            <w:tcW w:w="360" w:type="dxa"/>
            <w:shd w:val="clear" w:color="auto" w:fill="F2F2F2"/>
          </w:tcPr>
          <w:p w:rsidR="00A77B3E">
            <w:pPr>
              <w:pStyle w:val="mqeng"/>
              <w:jc w:val="left"/>
            </w:pPr>
            <w:r>
              <w:rPr>
                <w:noProof/>
              </w:rPr>
              <w:t>Bond Connect is a mutual bond market access link between Hong Kong and the PRC which facilitates investment in the China Interbank Bond Market (“CIBM”) through mutual access and connection arrangements between the related financial infrastructure institutions of Hong Kong and the PRC without quota limitations.</w:t>
            </w:r>
          </w:p>
        </w:tc>
        <w:tc>
          <w:tcPr>
            <w:tcW w:w="360" w:type="dxa"/>
            <w:shd w:val="clear" w:color="auto" w:fill="auto"/>
          </w:tcPr>
          <w:p w:rsidR="00A77B3E">
            <w:pPr>
              <w:pStyle w:val="mqspa"/>
              <w:jc w:val="left"/>
            </w:pPr>
            <w:r>
              <w:rPr>
                <w:noProof w:val="0"/>
              </w:rPr>
              <w:t>Bond Connect es un enlace de acceso mutuo al mercado de renta fija entre Hong Kong y la RPC que facilita la inversión en el mercado interbancario de bonos de China ("CIBM") a través de acceso mutuo y acuerdos de conexión entre las instituciones de infraestructura financiera relacionadas de Hong Kong y la RPC sin limitaciones de cuota.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183</w:t>
              <w:br/>
            </w:r>
            <w:r>
              <w:rPr>
                <w:noProof/>
                <w:sz w:val="2"/>
              </w:rPr>
              <w:t>7c17ac97-1d2d-4d81-a3d3-cd3c6993bb9c</w:t>
            </w:r>
          </w:p>
        </w:tc>
        <w:tc>
          <w:tcPr>
            <w:tcW w:w="360" w:type="dxa"/>
            <w:shd w:val="clear" w:color="auto" w:fill="F2F2F2"/>
          </w:tcPr>
          <w:p w:rsidR="00A77B3E">
            <w:pPr>
              <w:pStyle w:val="mqeng"/>
              <w:jc w:val="left"/>
            </w:pPr>
            <w:r>
              <w:rPr>
                <w:b/>
                <w:i w:val="0"/>
                <w:noProof/>
                <w:u w:val="none"/>
                <w:vertAlign w:val="baseline"/>
              </w:rPr>
              <w:t>‘Bond Funds’</w:t>
            </w:r>
          </w:p>
        </w:tc>
        <w:tc>
          <w:tcPr>
            <w:tcW w:w="360" w:type="dxa"/>
            <w:shd w:val="clear" w:color="auto" w:fill="auto"/>
          </w:tcPr>
          <w:p w:rsidR="00A77B3E">
            <w:pPr>
              <w:pStyle w:val="mqspa"/>
              <w:jc w:val="left"/>
            </w:pPr>
            <w:r>
              <w:rPr>
                <w:b/>
                <w:i w:val="0"/>
                <w:noProof w:val="0"/>
                <w:u w:val="none"/>
                <w:vertAlign w:val="baseline"/>
              </w:rPr>
              <w:t>‘Fondos de Bonos’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184</w:t>
              <w:br/>
            </w:r>
            <w:r>
              <w:rPr>
                <w:noProof/>
                <w:sz w:val="2"/>
              </w:rPr>
              <w:t>39d91d77-8137-4849-8591-10d7f0412b78</w:t>
            </w:r>
          </w:p>
        </w:tc>
        <w:tc>
          <w:tcPr>
            <w:tcW w:w="360" w:type="dxa"/>
            <w:shd w:val="clear" w:color="auto" w:fill="F2F2F2"/>
          </w:tcPr>
          <w:p w:rsidR="00A77B3E">
            <w:pPr>
              <w:pStyle w:val="mqeng"/>
              <w:jc w:val="left"/>
            </w:pPr>
            <w:r>
              <w:rPr>
                <w:noProof/>
              </w:rPr>
              <w:t>The Funds listed under the heading ‘Bond Funds’ in the section ‘Funds’ of this Prospectus.</w:t>
            </w:r>
          </w:p>
        </w:tc>
        <w:tc>
          <w:tcPr>
            <w:tcW w:w="360" w:type="dxa"/>
            <w:shd w:val="clear" w:color="auto" w:fill="auto"/>
          </w:tcPr>
          <w:p w:rsidR="00A77B3E">
            <w:pPr>
              <w:pStyle w:val="mqspa"/>
              <w:jc w:val="left"/>
            </w:pPr>
            <w:r>
              <w:rPr>
                <w:noProof w:val="0"/>
              </w:rPr>
              <w:t>Los Fondos enumerados bajo el encabezado ‘Fondos de Bonos’ en el apartado ‘Fondos’ de este Folleto informativo.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185</w:t>
              <w:br/>
            </w:r>
            <w:r>
              <w:rPr>
                <w:noProof/>
                <w:sz w:val="2"/>
              </w:rPr>
              <w:t>778e5b5e-1f79-40ed-9066-782305f83b99</w:t>
            </w:r>
          </w:p>
        </w:tc>
        <w:tc>
          <w:tcPr>
            <w:tcW w:w="360" w:type="dxa"/>
            <w:shd w:val="clear" w:color="auto" w:fill="F2F2F2"/>
          </w:tcPr>
          <w:p w:rsidR="00A77B3E">
            <w:pPr>
              <w:pStyle w:val="mqeng"/>
              <w:jc w:val="left"/>
            </w:pPr>
            <w:r>
              <w:rPr>
                <w:b/>
                <w:i w:val="0"/>
                <w:noProof/>
                <w:u w:val="none"/>
                <w:vertAlign w:val="baseline"/>
              </w:rPr>
              <w:t>‘Business Day’</w:t>
            </w:r>
          </w:p>
        </w:tc>
        <w:tc>
          <w:tcPr>
            <w:tcW w:w="360" w:type="dxa"/>
            <w:shd w:val="clear" w:color="auto" w:fill="auto"/>
          </w:tcPr>
          <w:p w:rsidR="00A77B3E">
            <w:pPr>
              <w:pStyle w:val="mqspa"/>
              <w:jc w:val="left"/>
            </w:pPr>
            <w:r>
              <w:rPr>
                <w:b/>
                <w:i w:val="0"/>
                <w:noProof w:val="0"/>
                <w:u w:val="none"/>
                <w:vertAlign w:val="baseline"/>
              </w:rPr>
              <w:t>«Día hábil»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186</w:t>
              <w:br/>
            </w:r>
            <w:r>
              <w:rPr>
                <w:noProof/>
                <w:sz w:val="2"/>
              </w:rPr>
              <w:t>e8ecffcc-cd6c-40b6-8252-34f0ff877fa2</w:t>
            </w:r>
          </w:p>
        </w:tc>
        <w:tc>
          <w:tcPr>
            <w:tcW w:w="360" w:type="dxa"/>
            <w:shd w:val="clear" w:color="auto" w:fill="F2F2F2"/>
          </w:tcPr>
          <w:p w:rsidR="00A77B3E">
            <w:pPr>
              <w:pStyle w:val="mqeng"/>
              <w:jc w:val="left"/>
            </w:pPr>
            <w:r>
              <w:rPr>
                <w:noProof/>
              </w:rPr>
              <w:t>A</w:t>
            </w:r>
            <w:r>
              <w:rPr>
                <w:rStyle w:val="mqInternal"/>
                <w:b w:val="0"/>
                <w:i w:val="0"/>
                <w:noProof/>
                <w:u w:val="none"/>
                <w:vertAlign w:val="baseline"/>
              </w:rPr>
              <w:t>[1}</w:t>
            </w:r>
            <w:r>
              <w:rPr>
                <w:noProof/>
              </w:rPr>
              <w:t xml:space="preserve"> bank business day in Luxembourg</w:t>
            </w:r>
            <w:r>
              <w:rPr>
                <w:rStyle w:val="mqInternal"/>
                <w:b w:val="0"/>
                <w:i w:val="0"/>
                <w:noProof/>
                <w:u w:val="none"/>
                <w:vertAlign w:val="baseline"/>
              </w:rPr>
              <w:t>{2]</w:t>
            </w:r>
            <w:r>
              <w:rPr>
                <w:noProof/>
              </w:rPr>
              <w:t xml:space="preserve"> unless otherwise stated.</w:t>
            </w:r>
          </w:p>
        </w:tc>
        <w:tc>
          <w:tcPr>
            <w:tcW w:w="360" w:type="dxa"/>
            <w:shd w:val="clear" w:color="auto" w:fill="auto"/>
          </w:tcPr>
          <w:p w:rsidR="00A77B3E">
            <w:pPr>
              <w:pStyle w:val="mqspa"/>
              <w:jc w:val="left"/>
            </w:pPr>
            <w:r>
              <w:rPr>
                <w:noProof w:val="0"/>
              </w:rPr>
              <w:t>Día</w:t>
            </w:r>
            <w:r>
              <w:rPr>
                <w:rStyle w:val="mqInternal"/>
                <w:b w:val="0"/>
                <w:i w:val="0"/>
                <w:noProof/>
                <w:u w:val="none"/>
                <w:vertAlign w:val="baseline"/>
              </w:rPr>
              <w:t>[1}</w:t>
            </w:r>
            <w:r>
              <w:rPr>
                <w:noProof w:val="0"/>
              </w:rPr>
              <w:t xml:space="preserve"> hábil bancario en Luxemburgo</w:t>
            </w:r>
            <w:r>
              <w:rPr>
                <w:rStyle w:val="mqInternal"/>
                <w:b w:val="0"/>
                <w:i w:val="0"/>
                <w:noProof/>
                <w:u w:val="none"/>
                <w:vertAlign w:val="baseline"/>
              </w:rPr>
              <w:t>{2]</w:t>
            </w:r>
            <w:r>
              <w:rPr>
                <w:noProof w:val="0"/>
              </w:rPr>
              <w:t>, a no ser que se indique otra cosa.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187</w:t>
              <w:br/>
            </w:r>
            <w:r>
              <w:rPr>
                <w:noProof/>
                <w:sz w:val="2"/>
              </w:rPr>
              <w:t>92b8017f-a5d7-4c61-acf3-9b5b4e1cbac1</w:t>
            </w:r>
          </w:p>
        </w:tc>
        <w:tc>
          <w:tcPr>
            <w:tcW w:w="360" w:type="dxa"/>
            <w:shd w:val="clear" w:color="auto" w:fill="F2F2F2"/>
          </w:tcPr>
          <w:p w:rsidR="00A77B3E">
            <w:pPr>
              <w:pStyle w:val="mqeng"/>
              <w:jc w:val="left"/>
            </w:pPr>
            <w:r>
              <w:rPr>
                <w:b/>
                <w:i w:val="0"/>
                <w:noProof/>
                <w:u w:val="none"/>
                <w:vertAlign w:val="baseline"/>
              </w:rPr>
              <w:t>‘CDSC’</w:t>
            </w:r>
          </w:p>
        </w:tc>
        <w:tc>
          <w:tcPr>
            <w:tcW w:w="360" w:type="dxa"/>
            <w:shd w:val="clear" w:color="auto" w:fill="auto"/>
          </w:tcPr>
          <w:p w:rsidR="00A77B3E">
            <w:pPr>
              <w:pStyle w:val="mqspa"/>
              <w:jc w:val="left"/>
            </w:pPr>
            <w:r>
              <w:rPr>
                <w:b/>
                <w:i w:val="0"/>
                <w:noProof w:val="0"/>
                <w:u w:val="none"/>
                <w:vertAlign w:val="baseline"/>
              </w:rPr>
              <w:t>«CDSC»</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188</w:t>
              <w:br/>
            </w:r>
            <w:r>
              <w:rPr>
                <w:noProof/>
                <w:sz w:val="2"/>
              </w:rPr>
              <w:t>6fb56246-d6f6-4360-b217-660602b7d280</w:t>
            </w:r>
          </w:p>
        </w:tc>
        <w:tc>
          <w:tcPr>
            <w:tcW w:w="360" w:type="dxa"/>
            <w:shd w:val="clear" w:color="auto" w:fill="F2F2F2"/>
          </w:tcPr>
          <w:p w:rsidR="00A77B3E">
            <w:pPr>
              <w:pStyle w:val="mqeng"/>
              <w:jc w:val="left"/>
            </w:pPr>
            <w:r>
              <w:rPr>
                <w:noProof/>
              </w:rPr>
              <w:t>Means a contingent deferred sales charge, as described in the section ‘Fees, Charges and Expenses’ of this Prospectus.</w:t>
            </w:r>
          </w:p>
        </w:tc>
        <w:tc>
          <w:tcPr>
            <w:tcW w:w="360" w:type="dxa"/>
            <w:shd w:val="clear" w:color="auto" w:fill="auto"/>
          </w:tcPr>
          <w:p w:rsidR="00A77B3E">
            <w:pPr>
              <w:pStyle w:val="mqspa"/>
              <w:jc w:val="left"/>
            </w:pPr>
            <w:r>
              <w:rPr>
                <w:noProof w:val="0"/>
              </w:rPr>
              <w:t>Significa una comisión contingente por ventas diferidas, como se describe en la sección ‘Comisiones, Gastos y gastos’ de este Folleto.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189</w:t>
              <w:br/>
            </w:r>
            <w:r>
              <w:rPr>
                <w:noProof/>
                <w:sz w:val="2"/>
              </w:rPr>
              <w:t>7ffcda1b-2cbb-446c-8704-3769311cb6de</w:t>
            </w:r>
          </w:p>
        </w:tc>
        <w:tc>
          <w:tcPr>
            <w:tcW w:w="360" w:type="dxa"/>
            <w:shd w:val="clear" w:color="auto" w:fill="F2F2F2"/>
          </w:tcPr>
          <w:p w:rsidR="00A77B3E">
            <w:pPr>
              <w:pStyle w:val="mqeng"/>
              <w:jc w:val="left"/>
            </w:pPr>
            <w:r>
              <w:rPr>
                <w:b/>
                <w:i w:val="0"/>
                <w:noProof/>
                <w:u w:val="none"/>
                <w:vertAlign w:val="baseline"/>
              </w:rPr>
              <w:t>‘CET’</w:t>
            </w:r>
          </w:p>
        </w:tc>
        <w:tc>
          <w:tcPr>
            <w:tcW w:w="360" w:type="dxa"/>
            <w:shd w:val="clear" w:color="auto" w:fill="auto"/>
          </w:tcPr>
          <w:p w:rsidR="00A77B3E">
            <w:pPr>
              <w:pStyle w:val="mqspa"/>
              <w:jc w:val="left"/>
            </w:pPr>
            <w:r>
              <w:rPr>
                <w:b/>
                <w:i w:val="0"/>
                <w:noProof w:val="0"/>
                <w:u w:val="none"/>
                <w:vertAlign w:val="baseline"/>
              </w:rPr>
              <w:t>‘CET’</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190</w:t>
              <w:br/>
            </w:r>
            <w:r>
              <w:rPr>
                <w:noProof/>
                <w:sz w:val="2"/>
              </w:rPr>
              <w:t>573e5999-2052-4044-a4df-6a5b49ca8235</w:t>
            </w:r>
          </w:p>
        </w:tc>
        <w:tc>
          <w:tcPr>
            <w:tcW w:w="360" w:type="dxa"/>
            <w:shd w:val="clear" w:color="auto" w:fill="F2F2F2"/>
          </w:tcPr>
          <w:p w:rsidR="00A77B3E">
            <w:pPr>
              <w:pStyle w:val="mqeng"/>
              <w:jc w:val="left"/>
            </w:pPr>
            <w:r>
              <w:rPr>
                <w:noProof/>
              </w:rPr>
              <w:t>Central European Time</w:t>
            </w:r>
          </w:p>
        </w:tc>
        <w:tc>
          <w:tcPr>
            <w:tcW w:w="360" w:type="dxa"/>
            <w:shd w:val="clear" w:color="auto" w:fill="auto"/>
          </w:tcPr>
          <w:p w:rsidR="00A77B3E">
            <w:pPr>
              <w:pStyle w:val="mqspa"/>
              <w:jc w:val="left"/>
            </w:pPr>
            <w:r>
              <w:rPr>
                <w:noProof w:val="0"/>
              </w:rPr>
              <w:t>Plazo de Europa Central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191</w:t>
              <w:br/>
            </w:r>
            <w:r>
              <w:rPr>
                <w:noProof/>
                <w:sz w:val="2"/>
              </w:rPr>
              <w:t>76c16506-bf98-4ad1-9477-ba638f4118c6</w:t>
            </w:r>
          </w:p>
        </w:tc>
        <w:tc>
          <w:tcPr>
            <w:tcW w:w="360" w:type="dxa"/>
            <w:shd w:val="clear" w:color="auto" w:fill="F2F2F2"/>
          </w:tcPr>
          <w:p w:rsidR="00A77B3E">
            <w:pPr>
              <w:pStyle w:val="mqeng"/>
              <w:jc w:val="left"/>
            </w:pPr>
            <w:r>
              <w:rPr>
                <w:b/>
                <w:i w:val="0"/>
                <w:noProof/>
                <w:u w:val="none"/>
                <w:vertAlign w:val="baseline"/>
              </w:rPr>
              <w:t>‘China A-Shares’</w:t>
            </w:r>
          </w:p>
        </w:tc>
        <w:tc>
          <w:tcPr>
            <w:tcW w:w="360" w:type="dxa"/>
            <w:shd w:val="clear" w:color="auto" w:fill="auto"/>
          </w:tcPr>
          <w:p w:rsidR="00A77B3E">
            <w:pPr>
              <w:pStyle w:val="mqspa"/>
              <w:jc w:val="left"/>
            </w:pPr>
            <w:r>
              <w:rPr>
                <w:b/>
                <w:i w:val="0"/>
                <w:noProof w:val="0"/>
                <w:u w:val="none"/>
                <w:vertAlign w:val="baseline"/>
              </w:rPr>
              <w:t>‘Acciones A de China’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192</w:t>
              <w:br/>
            </w:r>
            <w:r>
              <w:rPr>
                <w:noProof/>
                <w:sz w:val="2"/>
              </w:rPr>
              <w:t>720d8338-b50e-43db-adbd-af01baa00d5c</w:t>
            </w:r>
          </w:p>
        </w:tc>
        <w:tc>
          <w:tcPr>
            <w:tcW w:w="360" w:type="dxa"/>
            <w:shd w:val="clear" w:color="auto" w:fill="F2F2F2"/>
          </w:tcPr>
          <w:p w:rsidR="00A77B3E">
            <w:pPr>
              <w:pStyle w:val="mqeng"/>
              <w:jc w:val="left"/>
            </w:pPr>
            <w:r>
              <w:rPr>
                <w:noProof/>
              </w:rPr>
              <w:t>Shares in mainland China based companies that trade on Chinese stock exchanges.</w:t>
            </w:r>
          </w:p>
        </w:tc>
        <w:tc>
          <w:tcPr>
            <w:tcW w:w="360" w:type="dxa"/>
            <w:shd w:val="clear" w:color="auto" w:fill="auto"/>
          </w:tcPr>
          <w:p w:rsidR="00A77B3E">
            <w:pPr>
              <w:pStyle w:val="mqspa"/>
              <w:jc w:val="left"/>
            </w:pPr>
            <w:r>
              <w:rPr>
                <w:noProof w:val="0"/>
              </w:rPr>
              <w:t>Acciones de sociedades en China que negocian en bolsas de valores chinas.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193</w:t>
              <w:br/>
            </w:r>
            <w:r>
              <w:rPr>
                <w:noProof/>
                <w:sz w:val="2"/>
              </w:rPr>
              <w:t>0181c226-c133-43c9-98f2-c34267d573f8</w:t>
            </w:r>
          </w:p>
        </w:tc>
        <w:tc>
          <w:tcPr>
            <w:tcW w:w="360" w:type="dxa"/>
            <w:shd w:val="clear" w:color="auto" w:fill="F2F2F2"/>
          </w:tcPr>
          <w:p w:rsidR="00A77B3E">
            <w:pPr>
              <w:pStyle w:val="mqeng"/>
              <w:jc w:val="left"/>
            </w:pPr>
            <w:r>
              <w:rPr>
                <w:b/>
                <w:i w:val="0"/>
                <w:noProof/>
                <w:u w:val="none"/>
                <w:vertAlign w:val="baseline"/>
              </w:rPr>
              <w:t>‘CIBM’</w:t>
            </w:r>
          </w:p>
        </w:tc>
        <w:tc>
          <w:tcPr>
            <w:tcW w:w="360" w:type="dxa"/>
            <w:shd w:val="clear" w:color="auto" w:fill="auto"/>
          </w:tcPr>
          <w:p w:rsidR="00A77B3E">
            <w:pPr>
              <w:pStyle w:val="mqspa"/>
              <w:jc w:val="left"/>
            </w:pPr>
            <w:r>
              <w:rPr>
                <w:b/>
                <w:i w:val="0"/>
                <w:noProof w:val="0"/>
                <w:u w:val="none"/>
                <w:vertAlign w:val="baseline"/>
              </w:rPr>
              <w:t>‘CIBM’</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194</w:t>
              <w:br/>
            </w:r>
            <w:r>
              <w:rPr>
                <w:noProof/>
                <w:sz w:val="2"/>
              </w:rPr>
              <w:t>7eb87ed4-c287-4728-8b48-2da876da010a</w:t>
            </w:r>
          </w:p>
        </w:tc>
        <w:tc>
          <w:tcPr>
            <w:tcW w:w="360" w:type="dxa"/>
            <w:shd w:val="clear" w:color="auto" w:fill="F2F2F2"/>
          </w:tcPr>
          <w:p w:rsidR="00A77B3E">
            <w:pPr>
              <w:pStyle w:val="mqeng"/>
              <w:jc w:val="left"/>
            </w:pPr>
            <w:r>
              <w:rPr>
                <w:noProof/>
              </w:rPr>
              <w:t>China Interbank Bond Market.</w:t>
            </w:r>
          </w:p>
        </w:tc>
        <w:tc>
          <w:tcPr>
            <w:tcW w:w="360" w:type="dxa"/>
            <w:shd w:val="clear" w:color="auto" w:fill="auto"/>
          </w:tcPr>
          <w:p w:rsidR="00A77B3E">
            <w:pPr>
              <w:pStyle w:val="mqspa"/>
              <w:jc w:val="left"/>
            </w:pPr>
            <w:r>
              <w:rPr>
                <w:noProof w:val="0"/>
              </w:rPr>
              <w:t>Mercado interbancario de bonos de China.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195</w:t>
              <w:br/>
            </w:r>
            <w:r>
              <w:rPr>
                <w:noProof/>
                <w:sz w:val="2"/>
              </w:rPr>
              <w:t>3fb923ea-181b-4655-aa75-714167fc52cd</w:t>
            </w:r>
          </w:p>
        </w:tc>
        <w:tc>
          <w:tcPr>
            <w:tcW w:w="360" w:type="dxa"/>
            <w:shd w:val="clear" w:color="auto" w:fill="F2F2F2"/>
          </w:tcPr>
          <w:p w:rsidR="00A77B3E">
            <w:pPr>
              <w:pStyle w:val="mqeng"/>
              <w:jc w:val="left"/>
            </w:pPr>
            <w:r>
              <w:rPr>
                <w:b/>
                <w:i w:val="0"/>
                <w:noProof/>
                <w:u w:val="none"/>
                <w:vertAlign w:val="baseline"/>
              </w:rPr>
              <w:t>‘Class’ or ‘Classes’</w:t>
            </w:r>
          </w:p>
        </w:tc>
        <w:tc>
          <w:tcPr>
            <w:tcW w:w="360" w:type="dxa"/>
            <w:shd w:val="clear" w:color="auto" w:fill="auto"/>
          </w:tcPr>
          <w:p w:rsidR="00A77B3E">
            <w:pPr>
              <w:pStyle w:val="mqspa"/>
              <w:jc w:val="left"/>
            </w:pPr>
            <w:r>
              <w:rPr>
                <w:b/>
                <w:i w:val="0"/>
                <w:noProof w:val="0"/>
                <w:u w:val="none"/>
                <w:vertAlign w:val="baseline"/>
              </w:rPr>
              <w:t>‘Clases’ o ‘Clases’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196</w:t>
              <w:br/>
            </w:r>
            <w:r>
              <w:rPr>
                <w:noProof/>
                <w:sz w:val="2"/>
              </w:rPr>
              <w:t>3047ead3-02f8-42ff-b10a-48dfe0497485</w:t>
            </w:r>
          </w:p>
        </w:tc>
        <w:tc>
          <w:tcPr>
            <w:tcW w:w="360" w:type="dxa"/>
            <w:shd w:val="clear" w:color="auto" w:fill="F2F2F2"/>
          </w:tcPr>
          <w:p w:rsidR="00A77B3E">
            <w:pPr>
              <w:pStyle w:val="mqeng"/>
              <w:jc w:val="left"/>
            </w:pPr>
            <w:r>
              <w:rPr>
                <w:noProof/>
              </w:rPr>
              <w:t xml:space="preserve">Class A and/or Class AB and/or Class B and/or Class C and/or Class E and/or Class F and/or Class G and/or Class GU and/or Class H and/or Class HB and/or Class I and/or Class IB and/or Class IU and/or Class IF and/or Class M and/or </w:t>
            </w:r>
            <w:r>
              <w:rPr>
                <w:rStyle w:val="mqInternal"/>
                <w:b w:val="0"/>
                <w:i w:val="0"/>
                <w:noProof/>
                <w:u w:val="none"/>
                <w:vertAlign w:val="baseline"/>
              </w:rPr>
              <w:t>[1}</w:t>
            </w:r>
            <w:r>
              <w:rPr>
                <w:noProof/>
              </w:rPr>
              <w:t xml:space="preserve">Class Q and/or </w:t>
            </w:r>
            <w:r>
              <w:rPr>
                <w:rStyle w:val="mqInternal"/>
                <w:b w:val="0"/>
                <w:i w:val="0"/>
                <w:noProof/>
                <w:u w:val="none"/>
                <w:vertAlign w:val="baseline"/>
              </w:rPr>
              <w:t>{2]</w:t>
            </w:r>
            <w:r>
              <w:rPr>
                <w:noProof/>
              </w:rPr>
              <w:t>Class R and/or Class S and/or Class SA and/or Class SB and/or Class X and/or Class Z Shares, as appropriate.</w:t>
            </w:r>
          </w:p>
        </w:tc>
        <w:tc>
          <w:tcPr>
            <w:tcW w:w="360" w:type="dxa"/>
            <w:shd w:val="clear" w:color="auto" w:fill="auto"/>
          </w:tcPr>
          <w:p w:rsidR="00A77B3E">
            <w:pPr>
              <w:pStyle w:val="mqspa"/>
              <w:jc w:val="left"/>
            </w:pPr>
            <w:r>
              <w:rPr>
                <w:noProof w:val="0"/>
              </w:rPr>
              <w:t xml:space="preserve">Acciones de Clase A y/o Clase AB y/o Clase B y/o Clase C y/o Clase E y/o Clase F y/o Clase G y/o Clase GU y/o Clase H y/o Clase HB y/o Clase I y/o Clase IB y/o Clase IU y/o Clase IF y/o Clase M y/o </w:t>
            </w:r>
            <w:r>
              <w:rPr>
                <w:rStyle w:val="mqInternal"/>
                <w:b w:val="0"/>
                <w:i w:val="0"/>
                <w:noProof/>
                <w:u w:val="none"/>
                <w:vertAlign w:val="baseline"/>
              </w:rPr>
              <w:t>[1}</w:t>
            </w:r>
            <w:r>
              <w:rPr>
                <w:noProof w:val="0"/>
              </w:rPr>
              <w:t xml:space="preserve">Clase Q y/o </w:t>
            </w:r>
            <w:r>
              <w:rPr>
                <w:rStyle w:val="mqInternal"/>
                <w:b w:val="0"/>
                <w:i w:val="0"/>
                <w:noProof/>
                <w:u w:val="none"/>
                <w:vertAlign w:val="baseline"/>
              </w:rPr>
              <w:t>{2]</w:t>
            </w:r>
            <w:r>
              <w:rPr>
                <w:noProof w:val="0"/>
              </w:rPr>
              <w:t>Clase R y/o Clase S y/o Clase SA y/o Clase SB y/o Clase X y/o Clase Z, según corresponda.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197</w:t>
              <w:br/>
            </w:r>
            <w:r>
              <w:rPr>
                <w:noProof/>
                <w:sz w:val="2"/>
              </w:rPr>
              <w:t>37353c9d-f20f-4c74-8ed9-10e5852a17fa</w:t>
            </w:r>
          </w:p>
        </w:tc>
        <w:tc>
          <w:tcPr>
            <w:tcW w:w="360" w:type="dxa"/>
            <w:shd w:val="clear" w:color="auto" w:fill="F2F2F2"/>
          </w:tcPr>
          <w:p w:rsidR="00A77B3E">
            <w:pPr>
              <w:pStyle w:val="mqeng"/>
              <w:jc w:val="left"/>
            </w:pPr>
            <w:r>
              <w:rPr>
                <w:b/>
                <w:i w:val="0"/>
                <w:noProof/>
                <w:u w:val="none"/>
                <w:vertAlign w:val="baseline"/>
              </w:rPr>
              <w:t>‘Class A Share’</w:t>
            </w:r>
          </w:p>
        </w:tc>
        <w:tc>
          <w:tcPr>
            <w:tcW w:w="360" w:type="dxa"/>
            <w:shd w:val="clear" w:color="auto" w:fill="auto"/>
          </w:tcPr>
          <w:p w:rsidR="00A77B3E">
            <w:pPr>
              <w:pStyle w:val="mqspa"/>
              <w:jc w:val="left"/>
            </w:pPr>
            <w:r>
              <w:rPr>
                <w:b/>
                <w:i w:val="0"/>
                <w:noProof w:val="0"/>
                <w:u w:val="none"/>
                <w:vertAlign w:val="baseline"/>
              </w:rPr>
              <w:t>‘Acciones Clase 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198</w:t>
              <w:br/>
            </w:r>
            <w:r>
              <w:rPr>
                <w:noProof/>
                <w:sz w:val="2"/>
              </w:rPr>
              <w:t>42531c34-3078-46ba-8765-867ad02d6613</w:t>
            </w:r>
          </w:p>
        </w:tc>
        <w:tc>
          <w:tcPr>
            <w:tcW w:w="360" w:type="dxa"/>
            <w:shd w:val="clear" w:color="auto" w:fill="F2F2F2"/>
          </w:tcPr>
          <w:p w:rsidR="00A77B3E">
            <w:pPr>
              <w:pStyle w:val="mqeng"/>
              <w:jc w:val="left"/>
            </w:pPr>
            <w:r>
              <w:rPr>
                <w:noProof/>
              </w:rPr>
              <w:t>Each Share which may be subject to the initial charge and trading fee, as described in the section ‘Fees, Charges and Expenses’ of this Prospectus.</w:t>
            </w:r>
          </w:p>
        </w:tc>
        <w:tc>
          <w:tcPr>
            <w:tcW w:w="360" w:type="dxa"/>
            <w:shd w:val="clear" w:color="auto" w:fill="auto"/>
          </w:tcPr>
          <w:p w:rsidR="00A77B3E">
            <w:pPr>
              <w:pStyle w:val="mqspa"/>
              <w:jc w:val="left"/>
            </w:pPr>
            <w:r>
              <w:rPr>
                <w:noProof w:val="0"/>
              </w:rPr>
              <w:t>Cada Acción que puede estar sujeta a la comisión inicial y a la comisión de negociación, como se describe en la sección ‘Comisiones, cargas y gastos’ de este Folleto.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199</w:t>
              <w:br/>
            </w:r>
            <w:r>
              <w:rPr>
                <w:noProof/>
                <w:sz w:val="2"/>
              </w:rPr>
              <w:t>3a210180-5362-42bb-b429-f925b99c7dec</w:t>
            </w:r>
          </w:p>
        </w:tc>
        <w:tc>
          <w:tcPr>
            <w:tcW w:w="360" w:type="dxa"/>
            <w:shd w:val="clear" w:color="auto" w:fill="F2F2F2"/>
          </w:tcPr>
          <w:p w:rsidR="00A77B3E">
            <w:pPr>
              <w:pStyle w:val="mqeng"/>
              <w:jc w:val="left"/>
            </w:pPr>
            <w:r>
              <w:rPr>
                <w:b/>
                <w:i w:val="0"/>
                <w:noProof/>
                <w:u w:val="none"/>
                <w:vertAlign w:val="baseline"/>
              </w:rPr>
              <w:t>‘Class AB Share’</w:t>
            </w:r>
          </w:p>
        </w:tc>
        <w:tc>
          <w:tcPr>
            <w:tcW w:w="360" w:type="dxa"/>
            <w:shd w:val="clear" w:color="auto" w:fill="auto"/>
          </w:tcPr>
          <w:p w:rsidR="00A77B3E">
            <w:pPr>
              <w:pStyle w:val="mqspa"/>
              <w:jc w:val="left"/>
            </w:pPr>
            <w:r>
              <w:rPr>
                <w:b/>
                <w:i w:val="0"/>
                <w:noProof w:val="0"/>
                <w:u w:val="none"/>
                <w:vertAlign w:val="baseline"/>
              </w:rPr>
              <w:t>‘Clase AB’</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200</w:t>
              <w:br/>
            </w:r>
            <w:r>
              <w:rPr>
                <w:noProof/>
                <w:sz w:val="2"/>
              </w:rPr>
              <w:t>625d5b96-3cd5-48cf-a7af-5455cbe41a44</w:t>
            </w:r>
          </w:p>
        </w:tc>
        <w:tc>
          <w:tcPr>
            <w:tcW w:w="360" w:type="dxa"/>
            <w:shd w:val="clear" w:color="auto" w:fill="F2F2F2"/>
          </w:tcPr>
          <w:p w:rsidR="00A77B3E">
            <w:pPr>
              <w:pStyle w:val="mqeng"/>
              <w:jc w:val="left"/>
            </w:pPr>
            <w:r>
              <w:rPr>
                <w:noProof/>
              </w:rPr>
              <w:t>Each Share which may be subject to the initial charge and trading fee, as described in the section ‘Fees, Charges and Expenses’ of this Prospectus.</w:t>
            </w:r>
          </w:p>
        </w:tc>
        <w:tc>
          <w:tcPr>
            <w:tcW w:w="360" w:type="dxa"/>
            <w:shd w:val="clear" w:color="auto" w:fill="auto"/>
          </w:tcPr>
          <w:p w:rsidR="00A77B3E">
            <w:pPr>
              <w:pStyle w:val="mqspa"/>
              <w:jc w:val="left"/>
            </w:pPr>
            <w:r>
              <w:rPr>
                <w:noProof w:val="0"/>
              </w:rPr>
              <w:t>Cada Acción que puede estar sujeta a la comisión inicial y a la comisión de negociación, como se describe en la sección ‘Comisiones, cargas y gastos’ de este Folleto.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201</w:t>
              <w:br/>
            </w:r>
            <w:r>
              <w:rPr>
                <w:noProof/>
                <w:sz w:val="2"/>
              </w:rPr>
              <w:t>efb4b1fc-ba64-4bf5-82df-05f12c899c0a</w:t>
            </w:r>
          </w:p>
        </w:tc>
        <w:tc>
          <w:tcPr>
            <w:tcW w:w="360" w:type="dxa"/>
            <w:shd w:val="clear" w:color="auto" w:fill="F2F2F2"/>
          </w:tcPr>
          <w:p w:rsidR="00A77B3E">
            <w:pPr>
              <w:pStyle w:val="mqeng"/>
              <w:jc w:val="left"/>
            </w:pPr>
            <w:r>
              <w:rPr>
                <w:noProof/>
              </w:rPr>
              <w:t>Class AB Shares are only available to certain Investors who subscribe within a certain period of the launch date of the relevant Fund.</w:t>
            </w:r>
          </w:p>
        </w:tc>
        <w:tc>
          <w:tcPr>
            <w:tcW w:w="360" w:type="dxa"/>
            <w:shd w:val="clear" w:color="auto" w:fill="auto"/>
          </w:tcPr>
          <w:p w:rsidR="00A77B3E">
            <w:pPr>
              <w:pStyle w:val="mqspa"/>
              <w:jc w:val="left"/>
            </w:pPr>
            <w:r>
              <w:rPr>
                <w:noProof w:val="0"/>
              </w:rPr>
              <w:t>Las Acciones de Clase AB solo están disponibles para ciertos inversores que se suscriben dentro de un plazo determinado desde la fecha de lanzamiento del Fondo correspondiente.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202</w:t>
              <w:br/>
            </w:r>
            <w:r>
              <w:rPr>
                <w:noProof/>
                <w:sz w:val="2"/>
              </w:rPr>
              <w:t>584b4eff-22ad-400b-9408-55093fe5c466</w:t>
            </w:r>
          </w:p>
        </w:tc>
        <w:tc>
          <w:tcPr>
            <w:tcW w:w="360" w:type="dxa"/>
            <w:shd w:val="clear" w:color="auto" w:fill="F2F2F2"/>
          </w:tcPr>
          <w:p w:rsidR="00A77B3E">
            <w:pPr>
              <w:pStyle w:val="mqeng"/>
              <w:jc w:val="left"/>
            </w:pPr>
            <w:r>
              <w:rPr>
                <w:noProof/>
              </w:rPr>
              <w:t>Investors who have subscribed to this Share Class can continue investing in this Share Class even after the initial subscription period has passed.</w:t>
            </w:r>
          </w:p>
        </w:tc>
        <w:tc>
          <w:tcPr>
            <w:tcW w:w="360" w:type="dxa"/>
            <w:shd w:val="clear" w:color="auto" w:fill="auto"/>
          </w:tcPr>
          <w:p w:rsidR="00A77B3E">
            <w:pPr>
              <w:pStyle w:val="mqspa"/>
              <w:jc w:val="left"/>
            </w:pPr>
            <w:r>
              <w:rPr>
                <w:noProof w:val="0"/>
              </w:rPr>
              <w:t>Los inversores que se han suscrito a esta Clase de Acciones pueden continuar invirtiendo en esta Clase de Acciones incluso después de que haya pasado el período de suscripción inicial.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203</w:t>
              <w:br/>
            </w:r>
            <w:r>
              <w:rPr>
                <w:noProof/>
                <w:sz w:val="2"/>
              </w:rPr>
              <w:t>28494bde-6647-4877-bacc-e8ef64faa3b4</w:t>
            </w:r>
          </w:p>
        </w:tc>
        <w:tc>
          <w:tcPr>
            <w:tcW w:w="360" w:type="dxa"/>
            <w:shd w:val="clear" w:color="auto" w:fill="F2F2F2"/>
          </w:tcPr>
          <w:p w:rsidR="00A77B3E">
            <w:pPr>
              <w:pStyle w:val="mqeng"/>
              <w:jc w:val="left"/>
            </w:pP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Class AB Shares may be available in other circumstances at the discretion of the Directors.</w:t>
            </w:r>
          </w:p>
        </w:tc>
        <w:tc>
          <w:tcPr>
            <w:tcW w:w="360" w:type="dxa"/>
            <w:shd w:val="clear" w:color="auto" w:fill="auto"/>
          </w:tcPr>
          <w:p w:rsidR="00A77B3E">
            <w:pPr>
              <w:pStyle w:val="mqspa"/>
              <w:jc w:val="left"/>
            </w:pPr>
            <w:r>
              <w:rPr>
                <w:noProof w:val="0"/>
              </w:rPr>
              <w:t xml:space="preserve">Las Acciones de </w:t>
            </w: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Clase AB pueden estar disponibles en otras circunstancias a discreción de los Consejeros.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204</w:t>
              <w:br/>
            </w:r>
            <w:r>
              <w:rPr>
                <w:noProof/>
                <w:sz w:val="2"/>
              </w:rPr>
              <w:t>dc8f28db-99e1-4417-a7ea-b4c444dd1170</w:t>
            </w:r>
          </w:p>
        </w:tc>
        <w:tc>
          <w:tcPr>
            <w:tcW w:w="360" w:type="dxa"/>
            <w:shd w:val="clear" w:color="auto" w:fill="F2F2F2"/>
          </w:tcPr>
          <w:p w:rsidR="00A77B3E">
            <w:pPr>
              <w:pStyle w:val="mqeng"/>
              <w:jc w:val="left"/>
            </w:pPr>
            <w:r>
              <w:rPr>
                <w:noProof/>
              </w:rPr>
              <w:t>PAN EUROPEAN ABSOLUTE RETURN FUND</w:t>
            </w:r>
          </w:p>
        </w:tc>
        <w:tc>
          <w:tcPr>
            <w:tcW w:w="360" w:type="dxa"/>
            <w:shd w:val="clear" w:color="auto" w:fill="auto"/>
          </w:tcPr>
          <w:p w:rsidR="00A77B3E">
            <w:pPr>
              <w:pStyle w:val="mqspa"/>
              <w:jc w:val="left"/>
            </w:pPr>
            <w:r>
              <w:rPr>
                <w:noProof w:val="0"/>
              </w:rPr>
              <w:t>PAN EUROPEAN ABSOLUTE RETURN FUND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205</w:t>
              <w:br/>
            </w:r>
            <w:r>
              <w:rPr>
                <w:noProof/>
                <w:sz w:val="2"/>
              </w:rPr>
              <w:t>412f8097-32f7-44e2-ab7b-b54e5dd05a4f</w:t>
            </w:r>
          </w:p>
        </w:tc>
        <w:tc>
          <w:tcPr>
            <w:tcW w:w="360" w:type="dxa"/>
            <w:shd w:val="clear" w:color="auto" w:fill="F2F2F2"/>
          </w:tcPr>
          <w:p w:rsidR="00A77B3E">
            <w:pPr>
              <w:pStyle w:val="mqeng"/>
              <w:jc w:val="left"/>
            </w:pPr>
            <w:r>
              <w:rPr>
                <w:b/>
                <w:i w:val="0"/>
                <w:noProof/>
                <w:u w:val="none"/>
                <w:vertAlign w:val="baseline"/>
              </w:rPr>
              <w:t>Investment Objective</w:t>
            </w:r>
          </w:p>
        </w:tc>
        <w:tc>
          <w:tcPr>
            <w:tcW w:w="360" w:type="dxa"/>
            <w:shd w:val="clear" w:color="auto" w:fill="auto"/>
          </w:tcPr>
          <w:p w:rsidR="00A77B3E">
            <w:pPr>
              <w:pStyle w:val="mqspa"/>
              <w:jc w:val="left"/>
            </w:pPr>
            <w:r>
              <w:rPr>
                <w:b/>
                <w:i w:val="0"/>
                <w:noProof w:val="0"/>
                <w:u w:val="none"/>
                <w:vertAlign w:val="baseline"/>
              </w:rPr>
              <w:t>Objetivo de inversión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206</w:t>
              <w:br/>
            </w:r>
            <w:r>
              <w:rPr>
                <w:noProof/>
                <w:sz w:val="2"/>
              </w:rPr>
              <w:t>15babf20-213a-4756-bb6f-b3cb96fb6a1f</w:t>
            </w:r>
          </w:p>
        </w:tc>
        <w:tc>
          <w:tcPr>
            <w:tcW w:w="360" w:type="dxa"/>
            <w:shd w:val="clear" w:color="auto" w:fill="F2F2F2"/>
          </w:tcPr>
          <w:p w:rsidR="00A77B3E">
            <w:pPr>
              <w:pStyle w:val="mqeng"/>
              <w:jc w:val="left"/>
            </w:pPr>
            <w:r>
              <w:rPr>
                <w:noProof/>
              </w:rPr>
              <w:t>The Fund aims to provide a positive (absolute) return, regardless of market conditions, over any 12-month period.</w:t>
            </w:r>
          </w:p>
        </w:tc>
        <w:tc>
          <w:tcPr>
            <w:tcW w:w="360" w:type="dxa"/>
            <w:shd w:val="clear" w:color="auto" w:fill="auto"/>
          </w:tcPr>
          <w:p w:rsidR="00A77B3E">
            <w:pPr>
              <w:pStyle w:val="mqspa"/>
              <w:jc w:val="left"/>
            </w:pPr>
            <w:r>
              <w:rPr>
                <w:noProof w:val="0"/>
              </w:rPr>
              <w:t>El Fondo tiene como objetivo proporcionar unos rendimientos positivos (absolutos), independientemente de las condiciones del mercado, en cualquier período de 12 meses.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207</w:t>
              <w:br/>
            </w:r>
            <w:r>
              <w:rPr>
                <w:noProof/>
                <w:sz w:val="2"/>
              </w:rPr>
              <w:t>5dd5240e-04f3-4980-bf53-49c26b439a50</w:t>
            </w:r>
          </w:p>
        </w:tc>
        <w:tc>
          <w:tcPr>
            <w:tcW w:w="360" w:type="dxa"/>
            <w:shd w:val="clear" w:color="auto" w:fill="F2F2F2"/>
          </w:tcPr>
          <w:p w:rsidR="00A77B3E">
            <w:pPr>
              <w:pStyle w:val="mqeng"/>
              <w:jc w:val="left"/>
            </w:pPr>
            <w:r>
              <w:rPr>
                <w:noProof/>
              </w:rPr>
              <w:t>A positive return is not guaranteed over this or any other time period and, particularly over the shorter term, the Fund may experience periods of negative returns.</w:t>
            </w:r>
          </w:p>
        </w:tc>
        <w:tc>
          <w:tcPr>
            <w:tcW w:w="360" w:type="dxa"/>
            <w:shd w:val="clear" w:color="auto" w:fill="auto"/>
          </w:tcPr>
          <w:p w:rsidR="00A77B3E">
            <w:pPr>
              <w:pStyle w:val="mqspa"/>
              <w:jc w:val="left"/>
            </w:pPr>
            <w:r>
              <w:rPr>
                <w:noProof w:val="0"/>
              </w:rPr>
              <w:t>No se garantiza un rendimiento positivo durante este o cualquier otro período de tiempo y, particularmente, durante el corto plazo, el Fondo puede experimentar períodos de rendimientos negativos.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208</w:t>
              <w:br/>
            </w:r>
            <w:r>
              <w:rPr>
                <w:noProof/>
                <w:sz w:val="2"/>
              </w:rPr>
              <w:t>5f90541d-b009-44cb-b3ff-e73b59430324</w:t>
            </w:r>
          </w:p>
        </w:tc>
        <w:tc>
          <w:tcPr>
            <w:tcW w:w="360" w:type="dxa"/>
            <w:shd w:val="clear" w:color="auto" w:fill="F2F2F2"/>
          </w:tcPr>
          <w:p w:rsidR="00A77B3E">
            <w:pPr>
              <w:pStyle w:val="mqeng"/>
              <w:jc w:val="left"/>
            </w:pPr>
            <w:r>
              <w:rPr>
                <w:noProof/>
              </w:rPr>
              <w:t>Consequently, your capital is at risk.</w:t>
            </w:r>
          </w:p>
        </w:tc>
        <w:tc>
          <w:tcPr>
            <w:tcW w:w="360" w:type="dxa"/>
            <w:shd w:val="clear" w:color="auto" w:fill="auto"/>
          </w:tcPr>
          <w:p w:rsidR="00A77B3E">
            <w:pPr>
              <w:pStyle w:val="mqspa"/>
              <w:jc w:val="left"/>
            </w:pPr>
            <w:r>
              <w:rPr>
                <w:noProof w:val="0"/>
              </w:rPr>
              <w:t>En consecuencia, su capital está en riesgo.</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209</w:t>
              <w:br/>
            </w:r>
            <w:r>
              <w:rPr>
                <w:noProof/>
                <w:sz w:val="2"/>
              </w:rPr>
              <w:t>190f8f61-64e2-4e0c-bb9c-63b45387b567</w:t>
            </w:r>
          </w:p>
        </w:tc>
        <w:tc>
          <w:tcPr>
            <w:tcW w:w="360" w:type="dxa"/>
            <w:shd w:val="clear" w:color="auto" w:fill="F2F2F2"/>
          </w:tcPr>
          <w:p w:rsidR="00A77B3E">
            <w:pPr>
              <w:pStyle w:val="mqeng"/>
              <w:jc w:val="left"/>
            </w:pPr>
            <w:r>
              <w:rPr>
                <w:b/>
                <w:i w:val="0"/>
                <w:noProof/>
                <w:u w:val="none"/>
                <w:vertAlign w:val="baseline"/>
              </w:rPr>
              <w:t>Investment Policy</w:t>
            </w:r>
          </w:p>
        </w:tc>
        <w:tc>
          <w:tcPr>
            <w:tcW w:w="360" w:type="dxa"/>
            <w:shd w:val="clear" w:color="auto" w:fill="auto"/>
          </w:tcPr>
          <w:p w:rsidR="00A77B3E">
            <w:pPr>
              <w:pStyle w:val="mqspa"/>
              <w:jc w:val="left"/>
            </w:pPr>
            <w:r>
              <w:rPr>
                <w:b/>
                <w:i w:val="0"/>
                <w:noProof w:val="0"/>
                <w:u w:val="none"/>
                <w:vertAlign w:val="baseline"/>
              </w:rPr>
              <w:t>Política de Inversión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210</w:t>
              <w:br/>
            </w:r>
            <w:r>
              <w:rPr>
                <w:noProof/>
                <w:sz w:val="2"/>
              </w:rPr>
              <w:t>26803b43-b88a-48f2-bc4d-b94ad8305a6d</w:t>
            </w:r>
          </w:p>
        </w:tc>
        <w:tc>
          <w:tcPr>
            <w:tcW w:w="360" w:type="dxa"/>
            <w:shd w:val="clear" w:color="auto" w:fill="F2F2F2"/>
          </w:tcPr>
          <w:p w:rsidR="00A77B3E">
            <w:pPr>
              <w:pStyle w:val="mqeng"/>
              <w:jc w:val="left"/>
            </w:pPr>
            <w:r>
              <w:rPr>
                <w:noProof/>
              </w:rPr>
              <w:t>The Fund invests at least two-thirds of its total assets (after the deduction of cash) by taking long and short positions, in equities or equity-related instruments of:</w:t>
            </w:r>
          </w:p>
        </w:tc>
        <w:tc>
          <w:tcPr>
            <w:tcW w:w="360" w:type="dxa"/>
            <w:shd w:val="clear" w:color="auto" w:fill="auto"/>
          </w:tcPr>
          <w:p w:rsidR="00A77B3E">
            <w:pPr>
              <w:pStyle w:val="mqspa"/>
              <w:jc w:val="left"/>
            </w:pPr>
            <w:r>
              <w:rPr>
                <w:noProof w:val="0"/>
              </w:rPr>
              <w:t>El Fondo invierte al menos dos tercios de sus activos totales (después de la deducción del efectivo) adoptando posiciones largas y cortas en valores de renta variable o instrumentos relacionados con la renta variable de: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211</w:t>
              <w:br/>
            </w:r>
            <w:r>
              <w:rPr>
                <w:noProof/>
                <w:sz w:val="2"/>
              </w:rPr>
              <w:t>9a247620-4248-4023-a3a4-a9be1e0dc8c2</w:t>
            </w:r>
          </w:p>
        </w:tc>
        <w:tc>
          <w:tcPr>
            <w:tcW w:w="360" w:type="dxa"/>
            <w:shd w:val="clear" w:color="auto" w:fill="F2F2F2"/>
          </w:tcPr>
          <w:p w:rsidR="00A77B3E">
            <w:pPr>
              <w:pStyle w:val="mqeng"/>
              <w:jc w:val="left"/>
            </w:pPr>
            <w:r>
              <w:rPr>
                <w:noProof/>
              </w:rPr>
              <w:t>•</w:t>
            </w:r>
            <w:r>
              <w:rPr>
                <w:rStyle w:val="mqInternal"/>
                <w:b w:val="0"/>
                <w:i w:val="0"/>
                <w:noProof/>
                <w:u w:val="none"/>
                <w:vertAlign w:val="baseline"/>
              </w:rPr>
              <w:t>[1]</w:t>
            </w:r>
            <w:r>
              <w:rPr>
                <w:noProof/>
              </w:rPr>
              <w:t>companies that are domiciled in Europe (including the UK);</w:t>
            </w:r>
          </w:p>
        </w:tc>
        <w:tc>
          <w:tcPr>
            <w:tcW w:w="360" w:type="dxa"/>
            <w:shd w:val="clear" w:color="auto" w:fill="auto"/>
          </w:tcPr>
          <w:p w:rsidR="00A77B3E">
            <w:pPr>
              <w:pStyle w:val="mqspa"/>
              <w:jc w:val="left"/>
            </w:pPr>
            <w:r>
              <w:rPr>
                <w:noProof w:val="0"/>
              </w:rPr>
              <w:t>•</w:t>
            </w:r>
            <w:r>
              <w:rPr>
                <w:rStyle w:val="mqInternal"/>
                <w:b w:val="0"/>
                <w:i w:val="0"/>
                <w:noProof/>
                <w:u w:val="none"/>
                <w:vertAlign w:val="baseline"/>
              </w:rPr>
              <w:t>[1]</w:t>
            </w:r>
            <w:r>
              <w:rPr>
                <w:noProof w:val="0"/>
              </w:rPr>
              <w:t>empresas que están domiciliadas en Europa (incluido el Reino Unido);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212</w:t>
              <w:br/>
            </w:r>
            <w:r>
              <w:rPr>
                <w:noProof/>
                <w:sz w:val="2"/>
              </w:rPr>
              <w:t>c7d7cae6-8034-4c01-b292-0e1d89b064b7</w:t>
            </w:r>
          </w:p>
        </w:tc>
        <w:tc>
          <w:tcPr>
            <w:tcW w:w="360" w:type="dxa"/>
            <w:shd w:val="clear" w:color="auto" w:fill="F2F2F2"/>
          </w:tcPr>
          <w:p w:rsidR="00A77B3E">
            <w:pPr>
              <w:pStyle w:val="mqeng"/>
              <w:jc w:val="left"/>
            </w:pPr>
            <w:r>
              <w:rPr>
                <w:noProof/>
              </w:rPr>
              <w:t>•</w:t>
            </w:r>
            <w:r>
              <w:rPr>
                <w:rStyle w:val="mqInternal"/>
                <w:b w:val="0"/>
                <w:i w:val="0"/>
                <w:noProof/>
                <w:u w:val="none"/>
                <w:vertAlign w:val="baseline"/>
              </w:rPr>
              <w:t>[1]</w:t>
            </w:r>
            <w:r>
              <w:rPr>
                <w:noProof/>
              </w:rPr>
              <w:t>companies that derive the majority of their revenue from business activities in this region.</w:t>
            </w:r>
          </w:p>
        </w:tc>
        <w:tc>
          <w:tcPr>
            <w:tcW w:w="360" w:type="dxa"/>
            <w:shd w:val="clear" w:color="auto" w:fill="auto"/>
          </w:tcPr>
          <w:p w:rsidR="00A77B3E">
            <w:pPr>
              <w:pStyle w:val="mqspa"/>
              <w:jc w:val="left"/>
            </w:pPr>
            <w:r>
              <w:rPr>
                <w:noProof w:val="0"/>
              </w:rPr>
              <w:t>•</w:t>
            </w:r>
            <w:r>
              <w:rPr>
                <w:rStyle w:val="mqInternal"/>
                <w:b w:val="0"/>
                <w:i w:val="0"/>
                <w:noProof/>
                <w:u w:val="none"/>
                <w:vertAlign w:val="baseline"/>
              </w:rPr>
              <w:t>[1]</w:t>
            </w:r>
            <w:r>
              <w:rPr>
                <w:noProof w:val="0"/>
              </w:rPr>
              <w:t>empresas que obtienen la mayor parte de sus ingresos de actividades empresariales en esta región.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213</w:t>
              <w:br/>
            </w:r>
            <w:r>
              <w:rPr>
                <w:noProof/>
                <w:sz w:val="2"/>
              </w:rPr>
              <w:t>b5c2052f-f849-47c5-be71-f91dd50447c3</w:t>
            </w:r>
          </w:p>
        </w:tc>
        <w:tc>
          <w:tcPr>
            <w:tcW w:w="360" w:type="dxa"/>
            <w:shd w:val="clear" w:color="auto" w:fill="F2F2F2"/>
          </w:tcPr>
          <w:p w:rsidR="00A77B3E">
            <w:pPr>
              <w:pStyle w:val="mqeng"/>
              <w:jc w:val="left"/>
            </w:pPr>
            <w:r>
              <w:rPr>
                <w:noProof/>
              </w:rPr>
              <w:t>The Fund may invest in companies of any size, including smaller capitalisation companies, in any industry.</w:t>
            </w:r>
          </w:p>
        </w:tc>
        <w:tc>
          <w:tcPr>
            <w:tcW w:w="360" w:type="dxa"/>
            <w:shd w:val="clear" w:color="auto" w:fill="auto"/>
          </w:tcPr>
          <w:p w:rsidR="00A77B3E">
            <w:pPr>
              <w:pStyle w:val="mqspa"/>
              <w:jc w:val="left"/>
            </w:pPr>
            <w:r>
              <w:rPr>
                <w:noProof w:val="0"/>
              </w:rPr>
              <w:t>El Fondo podrá invertir en empresas de cualquier tamaño, incluidas empresas de menor capitalización, de cualquier sector.</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214</w:t>
              <w:br/>
            </w:r>
            <w:r>
              <w:rPr>
                <w:noProof/>
                <w:sz w:val="2"/>
              </w:rPr>
              <w:t>b4663d3b-e13f-4681-bfa6-807fbec24e9d</w:t>
            </w:r>
          </w:p>
        </w:tc>
        <w:tc>
          <w:tcPr>
            <w:tcW w:w="360" w:type="dxa"/>
            <w:shd w:val="clear" w:color="auto" w:fill="F2F2F2"/>
          </w:tcPr>
          <w:p w:rsidR="00A77B3E">
            <w:pPr>
              <w:pStyle w:val="mqeng"/>
              <w:jc w:val="left"/>
            </w:pPr>
            <w:r>
              <w:rPr>
                <w:noProof/>
              </w:rPr>
              <w:t>Equity-related instruments may include depositary receipts.</w:t>
            </w:r>
          </w:p>
        </w:tc>
        <w:tc>
          <w:tcPr>
            <w:tcW w:w="360" w:type="dxa"/>
            <w:shd w:val="clear" w:color="auto" w:fill="auto"/>
          </w:tcPr>
          <w:p w:rsidR="00A77B3E">
            <w:pPr>
              <w:pStyle w:val="mqspa"/>
              <w:jc w:val="left"/>
            </w:pPr>
            <w:r>
              <w:rPr>
                <w:noProof w:val="0"/>
              </w:rPr>
              <w:t>Los instrumentos relacionados con renta variable pueden incluir certificados de depósito.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215</w:t>
              <w:br/>
            </w:r>
            <w:r>
              <w:rPr>
                <w:noProof/>
                <w:sz w:val="2"/>
              </w:rPr>
              <w:t>538d2239-9969-4e22-a76d-a36d14f166ce</w:t>
            </w:r>
          </w:p>
        </w:tc>
        <w:tc>
          <w:tcPr>
            <w:tcW w:w="360" w:type="dxa"/>
            <w:shd w:val="clear" w:color="auto" w:fill="F2F2F2"/>
          </w:tcPr>
          <w:p w:rsidR="00A77B3E">
            <w:pPr>
              <w:pStyle w:val="mqeng"/>
              <w:jc w:val="left"/>
            </w:pPr>
            <w:r>
              <w:rPr>
                <w:noProof/>
              </w:rPr>
              <w:t>The Fund’s long positions may be held through a combination of direct investment and/or derivative instruments (such as futures, forwards, structured financial derivatives, equity swaps (also known as contracts-for-differences), swaps, options and warrants), whilst the short positions are achieved entirely through derivative instruments.</w:t>
            </w:r>
          </w:p>
        </w:tc>
        <w:tc>
          <w:tcPr>
            <w:tcW w:w="360" w:type="dxa"/>
            <w:shd w:val="clear" w:color="auto" w:fill="auto"/>
          </w:tcPr>
          <w:p w:rsidR="00A77B3E">
            <w:pPr>
              <w:pStyle w:val="mqspa"/>
              <w:jc w:val="left"/>
            </w:pPr>
            <w:r>
              <w:rPr>
                <w:noProof w:val="0"/>
              </w:rPr>
              <w:t>Las posiciones largas del Fondo pueden mantenerse mediante una combinación de inversión directa y/o instrumentos derivados (como futuros, contratos a plazo, derivados financieros estructurados, swaps de renta variable (también conocidos como contratos por diferencias), swaps, opciones y warrants), mientras que las posiciones cortas se obtienen íntegramente a través de instrumentos derivados.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216</w:t>
              <w:br/>
            </w:r>
            <w:r>
              <w:rPr>
                <w:noProof/>
                <w:sz w:val="2"/>
              </w:rPr>
              <w:t>e0a08367-9955-4b9f-85f9-5029cedafb58</w:t>
            </w:r>
          </w:p>
        </w:tc>
        <w:tc>
          <w:tcPr>
            <w:tcW w:w="360" w:type="dxa"/>
            <w:shd w:val="clear" w:color="auto" w:fill="F2F2F2"/>
          </w:tcPr>
          <w:p w:rsidR="00A77B3E">
            <w:pPr>
              <w:pStyle w:val="mqeng"/>
              <w:jc w:val="left"/>
            </w:pPr>
            <w:r>
              <w:rPr>
                <w:noProof/>
              </w:rPr>
              <w:t>The use of derivatives forms an important part of the investment strategy.</w:t>
            </w:r>
          </w:p>
        </w:tc>
        <w:tc>
          <w:tcPr>
            <w:tcW w:w="360" w:type="dxa"/>
            <w:shd w:val="clear" w:color="auto" w:fill="auto"/>
          </w:tcPr>
          <w:p w:rsidR="00A77B3E">
            <w:pPr>
              <w:pStyle w:val="mqspa"/>
              <w:jc w:val="left"/>
            </w:pPr>
            <w:r>
              <w:rPr>
                <w:noProof w:val="0"/>
              </w:rPr>
              <w:t>El uso de derivados constituye una parte importante de la estrategia de inversión.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217</w:t>
              <w:br/>
            </w:r>
            <w:r>
              <w:rPr>
                <w:noProof/>
                <w:sz w:val="2"/>
              </w:rPr>
              <w:t>3840b782-64da-418c-8ee0-25b530941f71</w:t>
            </w:r>
          </w:p>
        </w:tc>
        <w:tc>
          <w:tcPr>
            <w:tcW w:w="360" w:type="dxa"/>
            <w:shd w:val="clear" w:color="auto" w:fill="F2F2F2"/>
          </w:tcPr>
          <w:p w:rsidR="00A77B3E">
            <w:pPr>
              <w:pStyle w:val="mqeng"/>
              <w:jc w:val="left"/>
            </w:pPr>
            <w:r>
              <w:rPr>
                <w:noProof/>
              </w:rPr>
              <w:t>The Fund may also use derivative instruments to reduce risk and to manage the Fund more efficiently.</w:t>
            </w:r>
          </w:p>
        </w:tc>
        <w:tc>
          <w:tcPr>
            <w:tcW w:w="360" w:type="dxa"/>
            <w:shd w:val="clear" w:color="auto" w:fill="auto"/>
          </w:tcPr>
          <w:p w:rsidR="00A77B3E">
            <w:pPr>
              <w:pStyle w:val="mqspa"/>
              <w:jc w:val="left"/>
            </w:pPr>
            <w:r>
              <w:rPr>
                <w:noProof w:val="0"/>
              </w:rPr>
              <w:t>El Fondo también puede utilizar instrumentos derivados para reducir el riesgo y gestionar el Fondo de manera más eficiente.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218</w:t>
              <w:br/>
            </w:r>
            <w:r>
              <w:rPr>
                <w:noProof/>
                <w:sz w:val="2"/>
              </w:rPr>
              <w:t>3467c5dc-dcc4-45f7-a1c3-f5ff50a222c6</w:t>
            </w:r>
          </w:p>
        </w:tc>
        <w:tc>
          <w:tcPr>
            <w:tcW w:w="360" w:type="dxa"/>
            <w:shd w:val="clear" w:color="auto" w:fill="F2F2F2"/>
          </w:tcPr>
          <w:p w:rsidR="00A77B3E">
            <w:pPr>
              <w:pStyle w:val="mqeng"/>
              <w:jc w:val="left"/>
            </w:pPr>
            <w:r>
              <w:rPr>
                <w:noProof/>
              </w:rPr>
              <w:t>The underlyings consist of a range of securities or indices that the Fund may invest in according to the Fund’s investment objective and policy.</w:t>
            </w:r>
          </w:p>
        </w:tc>
        <w:tc>
          <w:tcPr>
            <w:tcW w:w="360" w:type="dxa"/>
            <w:shd w:val="clear" w:color="auto" w:fill="auto"/>
          </w:tcPr>
          <w:p w:rsidR="00A77B3E">
            <w:pPr>
              <w:pStyle w:val="mqspa"/>
              <w:jc w:val="left"/>
            </w:pPr>
            <w:r>
              <w:rPr>
                <w:noProof w:val="0"/>
              </w:rPr>
              <w:t>Los subyacentes consisten en una gama de valores o índices en los que el Fondo puede invertir, de acuerdo con el objetivo de inversión y la política de inversión del Fondo.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219</w:t>
              <w:br/>
            </w:r>
            <w:r>
              <w:rPr>
                <w:noProof/>
                <w:sz w:val="2"/>
              </w:rPr>
              <w:t>5c9009b3-16c5-497f-961f-647a1d578d30</w:t>
            </w:r>
          </w:p>
        </w:tc>
        <w:tc>
          <w:tcPr>
            <w:tcW w:w="360" w:type="dxa"/>
            <w:shd w:val="clear" w:color="auto" w:fill="F2F2F2"/>
          </w:tcPr>
          <w:p w:rsidR="00A77B3E">
            <w:pPr>
              <w:pStyle w:val="mqeng"/>
              <w:jc w:val="left"/>
            </w:pPr>
            <w:r>
              <w:rPr>
                <w:noProof/>
              </w:rPr>
              <w:t>The Fund may from time to time consider hedging currency and interest rate exposure, but will not generally enter into contracts involving a speculative position in any currency or interest rate.</w:t>
            </w:r>
          </w:p>
        </w:tc>
        <w:tc>
          <w:tcPr>
            <w:tcW w:w="360" w:type="dxa"/>
            <w:shd w:val="clear" w:color="auto" w:fill="auto"/>
          </w:tcPr>
          <w:p w:rsidR="00A77B3E">
            <w:pPr>
              <w:pStyle w:val="mqspa"/>
              <w:jc w:val="left"/>
            </w:pPr>
            <w:r>
              <w:rPr>
                <w:noProof w:val="0"/>
              </w:rPr>
              <w:t>El Fondo podrá considerar oportunamente el empleo de cobertura de divisas y la exposición al interés, pero no suscribirá por lo general contratos que impliquen posiciones especulativas en ninguna divisa o interés.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220</w:t>
              <w:br/>
            </w:r>
            <w:r>
              <w:rPr>
                <w:noProof/>
                <w:sz w:val="2"/>
              </w:rPr>
              <w:t>165f243c-53a3-4dfc-b97b-bd2751cb8a94</w:t>
            </w:r>
          </w:p>
        </w:tc>
        <w:tc>
          <w:tcPr>
            <w:tcW w:w="360" w:type="dxa"/>
            <w:shd w:val="clear" w:color="auto" w:fill="F2F2F2"/>
          </w:tcPr>
          <w:p w:rsidR="00A77B3E">
            <w:pPr>
              <w:pStyle w:val="mqeng"/>
              <w:jc w:val="left"/>
            </w:pPr>
            <w:r>
              <w:rPr>
                <w:noProof/>
              </w:rPr>
              <w:t>In addition, in seeking to achieve the Fund's investment objective,</w:t>
            </w: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 xml:space="preserve">for treasury management purposes, for defensive purposes (e.g., to manage market exposure in unfavourable market conditions) and/or ensure that the Fund remains sufficiently liquid to cover obligations arising from its derivative positions, a substantial proportion of the Fund’s assets may at any time consist of preference shares, investment grade fixed income instruments, (such as corporate bonds and government bonds and their associated derivative instruments), cash, near cash, bank deposits, </w:t>
            </w:r>
            <w:r>
              <w:rPr>
                <w:rStyle w:val="mqInternal"/>
                <w:b w:val="0"/>
                <w:i w:val="0"/>
                <w:noProof/>
                <w:u w:val="none"/>
                <w:vertAlign w:val="baseline"/>
              </w:rPr>
              <w:t>[3}</w:t>
            </w:r>
            <w:r>
              <w:rPr>
                <w:noProof/>
              </w:rPr>
              <w:t>treasury bills pending reinvestment</w:t>
            </w:r>
            <w:r>
              <w:rPr>
                <w:rStyle w:val="mqInternal"/>
                <w:b w:val="0"/>
                <w:i w:val="0"/>
                <w:noProof/>
                <w:u w:val="none"/>
                <w:vertAlign w:val="baseline"/>
              </w:rPr>
              <w:t>{4]</w:t>
            </w:r>
            <w:r>
              <w:rPr>
                <w:noProof/>
              </w:rPr>
              <w:t xml:space="preserve"> and/or Money Market Instruments.</w:t>
            </w:r>
          </w:p>
        </w:tc>
        <w:tc>
          <w:tcPr>
            <w:tcW w:w="360" w:type="dxa"/>
            <w:shd w:val="clear" w:color="auto" w:fill="auto"/>
          </w:tcPr>
          <w:p w:rsidR="00A77B3E">
            <w:pPr>
              <w:pStyle w:val="mqspa"/>
              <w:jc w:val="left"/>
            </w:pPr>
            <w:r>
              <w:rPr>
                <w:noProof w:val="0"/>
              </w:rPr>
              <w:t>Además, al buscar lograr el objetivo de inversión del Fondo, para fines defensivos,</w:t>
            </w: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 xml:space="preserve">(por ejemplo, para gestionar la exposición de mercado en condiciones desfavorables del mercado) y/o asegurar que el Fondo permanezca suficientemente líquido para cubrir las obligaciones derivadas de sus posiciones en derivados, una proporción sustancial de los activos del Fondo puede en cualquier momento consistir en acciones preferentes, instrumentos de renta fija con grado de inversión, (como bonos corporativos y bonos gubernamentales y sus instrumentos derivados asociados), efectivo, cuasi efectivo, depósitos bancarios, </w:t>
            </w:r>
            <w:r>
              <w:rPr>
                <w:rStyle w:val="mqInternal"/>
                <w:b w:val="0"/>
                <w:i w:val="0"/>
                <w:noProof/>
                <w:u w:val="none"/>
                <w:vertAlign w:val="baseline"/>
              </w:rPr>
              <w:t>[3}</w:t>
            </w:r>
            <w:r>
              <w:rPr>
                <w:noProof w:val="0"/>
              </w:rPr>
              <w:t>letras del tesoro pendientes de reinversión</w:t>
            </w:r>
            <w:r>
              <w:rPr>
                <w:rStyle w:val="mqInternal"/>
                <w:b w:val="0"/>
                <w:i w:val="0"/>
                <w:noProof/>
                <w:u w:val="none"/>
                <w:vertAlign w:val="baseline"/>
              </w:rPr>
              <w:t>{4]</w:t>
            </w:r>
            <w:r>
              <w:rPr>
                <w:noProof w:val="0"/>
              </w:rPr>
              <w:t xml:space="preserve"> y/o Instrumentos del mercado monetario.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221</w:t>
              <w:br/>
            </w:r>
            <w:r>
              <w:rPr>
                <w:noProof/>
                <w:sz w:val="2"/>
              </w:rPr>
              <w:t>90d92f54-63b1-4477-8be6-229d9cf5f5aa</w:t>
            </w:r>
          </w:p>
        </w:tc>
        <w:tc>
          <w:tcPr>
            <w:tcW w:w="360" w:type="dxa"/>
            <w:shd w:val="clear" w:color="auto" w:fill="F2F2F2"/>
          </w:tcPr>
          <w:p w:rsidR="00A77B3E">
            <w:pPr>
              <w:pStyle w:val="mqeng"/>
              <w:jc w:val="left"/>
            </w:pPr>
            <w:r>
              <w:rPr>
                <w:noProof/>
              </w:rPr>
              <w:t>The Fund may invest up to 10% of its net assets in special purpose acquisition companies.</w:t>
            </w:r>
          </w:p>
        </w:tc>
        <w:tc>
          <w:tcPr>
            <w:tcW w:w="360" w:type="dxa"/>
            <w:shd w:val="clear" w:color="auto" w:fill="auto"/>
          </w:tcPr>
          <w:p w:rsidR="00A77B3E">
            <w:pPr>
              <w:pStyle w:val="mqspa"/>
              <w:jc w:val="left"/>
            </w:pPr>
            <w:r>
              <w:rPr>
                <w:noProof w:val="0"/>
              </w:rPr>
              <w:t>El Fondo podrá invertir hasta el 10% de sus activos netos en sociedades de adquisición con fines especiales.</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222</w:t>
              <w:br/>
            </w:r>
            <w:r>
              <w:rPr>
                <w:noProof/>
                <w:sz w:val="2"/>
              </w:rPr>
              <w:t>6a9c13fa-c87e-48d3-8884-97f7df977b44</w:t>
            </w:r>
          </w:p>
        </w:tc>
        <w:tc>
          <w:tcPr>
            <w:tcW w:w="360" w:type="dxa"/>
            <w:shd w:val="clear" w:color="auto" w:fill="F2F2F2"/>
          </w:tcPr>
          <w:p w:rsidR="00A77B3E">
            <w:pPr>
              <w:pStyle w:val="mqeng"/>
              <w:jc w:val="left"/>
            </w:pPr>
            <w:r>
              <w:rPr>
                <w:b/>
                <w:i w:val="0"/>
                <w:noProof/>
                <w:u w:val="none"/>
                <w:vertAlign w:val="baseline"/>
              </w:rPr>
              <w:t>Use of Ancillary Liquid Assets</w:t>
            </w:r>
          </w:p>
        </w:tc>
        <w:tc>
          <w:tcPr>
            <w:tcW w:w="360" w:type="dxa"/>
            <w:shd w:val="clear" w:color="auto" w:fill="auto"/>
          </w:tcPr>
          <w:p w:rsidR="00A77B3E">
            <w:pPr>
              <w:pStyle w:val="mqspa"/>
              <w:jc w:val="left"/>
            </w:pPr>
            <w:r>
              <w:rPr>
                <w:b/>
                <w:i w:val="0"/>
                <w:noProof w:val="0"/>
                <w:u w:val="none"/>
                <w:vertAlign w:val="baseline"/>
              </w:rPr>
              <w:t>Uso de activos líquidos accesorios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223</w:t>
              <w:br/>
            </w:r>
            <w:r>
              <w:rPr>
                <w:noProof/>
                <w:sz w:val="2"/>
              </w:rPr>
              <w:t>1b102130-b676-4d62-8269-bb700523baca</w:t>
            </w:r>
          </w:p>
        </w:tc>
        <w:tc>
          <w:tcPr>
            <w:tcW w:w="360" w:type="dxa"/>
            <w:shd w:val="clear" w:color="auto" w:fill="F2F2F2"/>
          </w:tcPr>
          <w:p w:rsidR="00A77B3E">
            <w:pPr>
              <w:pStyle w:val="mqeng"/>
              <w:jc w:val="left"/>
            </w:pPr>
            <w:r>
              <w:rPr>
                <w:noProof/>
              </w:rPr>
              <w:t>The Fund may hold up to 20% in its net assets in ancillary liquid assets as described in greater detail under</w:t>
            </w:r>
            <w:r>
              <w:rPr>
                <w:b w:val="0"/>
                <w:i/>
                <w:noProof/>
                <w:u w:val="none"/>
                <w:vertAlign w:val="baseline"/>
              </w:rPr>
              <w:t xml:space="preserve"> </w:t>
            </w:r>
            <w:r>
              <w:rPr>
                <w:b w:val="0"/>
                <w:i w:val="0"/>
                <w:noProof/>
                <w:u w:val="none"/>
                <w:vertAlign w:val="baseline"/>
              </w:rPr>
              <w:t>paragraph 10.4 of the section entitled “Investment Restrictions.</w:t>
            </w:r>
          </w:p>
        </w:tc>
        <w:tc>
          <w:tcPr>
            <w:tcW w:w="360" w:type="dxa"/>
            <w:shd w:val="clear" w:color="auto" w:fill="auto"/>
          </w:tcPr>
          <w:p w:rsidR="00A77B3E">
            <w:pPr>
              <w:pStyle w:val="mqspa"/>
              <w:jc w:val="left"/>
            </w:pPr>
            <w:r>
              <w:rPr>
                <w:noProof w:val="0"/>
              </w:rPr>
              <w:t>El Fondo puede mantener hasta un 20% de su patrimonio neto en activos líquidos accesorios, como se describe con mayor detalle en el párrafo</w:t>
            </w:r>
            <w:r>
              <w:rPr>
                <w:b w:val="0"/>
                <w:i/>
                <w:noProof w:val="0"/>
                <w:u w:val="none"/>
                <w:vertAlign w:val="baseline"/>
              </w:rPr>
              <w:t xml:space="preserve"> </w:t>
            </w:r>
            <w:r>
              <w:rPr>
                <w:b w:val="0"/>
                <w:i w:val="0"/>
                <w:noProof w:val="0"/>
                <w:u w:val="none"/>
                <w:vertAlign w:val="baseline"/>
              </w:rPr>
              <w:t>10.4 de la sección titulada "Restricciones de Inversión."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224</w:t>
              <w:br/>
            </w:r>
            <w:r>
              <w:rPr>
                <w:noProof/>
                <w:sz w:val="2"/>
              </w:rPr>
              <w:t>aec790b2-cec2-49a3-befb-63ebc6fea803</w:t>
            </w:r>
          </w:p>
        </w:tc>
        <w:tc>
          <w:tcPr>
            <w:tcW w:w="360" w:type="dxa"/>
            <w:shd w:val="clear" w:color="auto" w:fill="F2F2F2"/>
          </w:tcPr>
          <w:p w:rsidR="00A77B3E">
            <w:pPr>
              <w:pStyle w:val="mqeng"/>
              <w:jc w:val="left"/>
            </w:pPr>
            <w:r>
              <w:rPr>
                <w:b/>
                <w:i w:val="0"/>
                <w:noProof/>
                <w:u w:val="none"/>
                <w:vertAlign w:val="baseline"/>
              </w:rPr>
              <w:t>Sustainable Finance Disclosure Regulation Categorisation</w:t>
            </w:r>
          </w:p>
        </w:tc>
        <w:tc>
          <w:tcPr>
            <w:tcW w:w="360" w:type="dxa"/>
            <w:shd w:val="clear" w:color="auto" w:fill="auto"/>
          </w:tcPr>
          <w:p w:rsidR="00A77B3E">
            <w:pPr>
              <w:pStyle w:val="mqspa"/>
              <w:jc w:val="left"/>
            </w:pPr>
            <w:r>
              <w:rPr>
                <w:b/>
                <w:i w:val="0"/>
                <w:noProof w:val="0"/>
                <w:u w:val="none"/>
                <w:vertAlign w:val="baseline"/>
              </w:rPr>
              <w:t>Regulación de divulgación de la financiación sostenible en el sector de los servicios financieros sostenibles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225</w:t>
              <w:br/>
            </w:r>
            <w:r>
              <w:rPr>
                <w:noProof/>
                <w:sz w:val="2"/>
              </w:rPr>
              <w:t>50976c1b-6f76-41ce-a930-c7157a12729f</w:t>
            </w:r>
          </w:p>
        </w:tc>
        <w:tc>
          <w:tcPr>
            <w:tcW w:w="360" w:type="dxa"/>
            <w:shd w:val="clear" w:color="auto" w:fill="F2F2F2"/>
          </w:tcPr>
          <w:p w:rsidR="00A77B3E">
            <w:pPr>
              <w:pStyle w:val="mqeng"/>
              <w:jc w:val="left"/>
            </w:pPr>
            <w:r>
              <w:rPr>
                <w:noProof/>
              </w:rPr>
              <w:t>Promotes environmental and social characteristics, as defined under Article 8 of SFDR.</w:t>
            </w:r>
          </w:p>
        </w:tc>
        <w:tc>
          <w:tcPr>
            <w:tcW w:w="360" w:type="dxa"/>
            <w:shd w:val="clear" w:color="auto" w:fill="auto"/>
          </w:tcPr>
          <w:p w:rsidR="00A77B3E">
            <w:pPr>
              <w:pStyle w:val="mqspa"/>
              <w:jc w:val="left"/>
            </w:pPr>
            <w:r>
              <w:rPr>
                <w:noProof w:val="0"/>
              </w:rPr>
              <w:t>Promueve características medioambientales y sociales, tal como se define en el artículo 8 del SFDR.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226</w:t>
              <w:br/>
            </w:r>
            <w:r>
              <w:rPr>
                <w:noProof/>
                <w:sz w:val="2"/>
              </w:rPr>
              <w:t>0d5fdaff-b12d-4144-9476-5d21a10813ed</w:t>
            </w:r>
          </w:p>
        </w:tc>
        <w:tc>
          <w:tcPr>
            <w:tcW w:w="360" w:type="dxa"/>
            <w:shd w:val="clear" w:color="auto" w:fill="F2F2F2"/>
          </w:tcPr>
          <w:p w:rsidR="00A77B3E">
            <w:pPr>
              <w:pStyle w:val="mqeng"/>
              <w:jc w:val="left"/>
            </w:pPr>
            <w:r>
              <w:rPr>
                <w:noProof/>
              </w:rPr>
              <w:t>For additional information please refer to Appendix 1 - Sustainability Approach.</w:t>
            </w:r>
          </w:p>
        </w:tc>
        <w:tc>
          <w:tcPr>
            <w:tcW w:w="360" w:type="dxa"/>
            <w:shd w:val="clear" w:color="auto" w:fill="auto"/>
          </w:tcPr>
          <w:p w:rsidR="00A77B3E">
            <w:pPr>
              <w:pStyle w:val="mqspa"/>
              <w:jc w:val="left"/>
            </w:pPr>
            <w:r>
              <w:rPr>
                <w:noProof w:val="0"/>
              </w:rPr>
              <w:t>Para información adicional, consulte el Apéndice 1 - Enfoque de sostenibilidad.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227</w:t>
              <w:br/>
            </w:r>
            <w:r>
              <w:rPr>
                <w:noProof/>
                <w:sz w:val="2"/>
              </w:rPr>
              <w:t>475a3bd0-6f36-46ad-83de-e2fbe02a5738</w:t>
            </w:r>
          </w:p>
        </w:tc>
        <w:tc>
          <w:tcPr>
            <w:tcW w:w="360" w:type="dxa"/>
            <w:shd w:val="clear" w:color="auto" w:fill="F2F2F2"/>
          </w:tcPr>
          <w:p w:rsidR="00A77B3E">
            <w:pPr>
              <w:pStyle w:val="mqeng"/>
              <w:jc w:val="left"/>
            </w:pPr>
            <w:r>
              <w:rPr>
                <w:b/>
                <w:i w:val="0"/>
                <w:noProof/>
                <w:u w:val="none"/>
                <w:vertAlign w:val="baseline"/>
              </w:rPr>
              <w:t>Performance Target</w:t>
            </w:r>
          </w:p>
        </w:tc>
        <w:tc>
          <w:tcPr>
            <w:tcW w:w="360" w:type="dxa"/>
            <w:shd w:val="clear" w:color="auto" w:fill="auto"/>
          </w:tcPr>
          <w:p w:rsidR="00A77B3E">
            <w:pPr>
              <w:pStyle w:val="mqspa"/>
              <w:jc w:val="left"/>
            </w:pPr>
            <w:r>
              <w:rPr>
                <w:b/>
                <w:i w:val="0"/>
                <w:noProof w:val="0"/>
                <w:u w:val="none"/>
                <w:vertAlign w:val="baseline"/>
              </w:rPr>
              <w:t>Objetivo de rentabilidad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228</w:t>
              <w:br/>
            </w:r>
            <w:r>
              <w:rPr>
                <w:noProof/>
                <w:sz w:val="2"/>
              </w:rPr>
              <w:t>a30baa4d-dba9-4b9b-b6ba-fc2acf1a56c5</w:t>
            </w:r>
          </w:p>
        </w:tc>
        <w:tc>
          <w:tcPr>
            <w:tcW w:w="360" w:type="dxa"/>
            <w:shd w:val="clear" w:color="auto" w:fill="F2F2F2"/>
          </w:tcPr>
          <w:p w:rsidR="00A77B3E">
            <w:pPr>
              <w:pStyle w:val="mqeng"/>
              <w:jc w:val="left"/>
            </w:pPr>
            <w:r>
              <w:rPr>
                <w:noProof/>
              </w:rPr>
              <w:t>To outperform the Euro Short Term Rate (€STR) by at least 1% per annum, after the deduction of charges, over any 3-year period.</w:t>
            </w:r>
          </w:p>
        </w:tc>
        <w:tc>
          <w:tcPr>
            <w:tcW w:w="360" w:type="dxa"/>
            <w:shd w:val="clear" w:color="auto" w:fill="auto"/>
          </w:tcPr>
          <w:p w:rsidR="00A77B3E">
            <w:pPr>
              <w:pStyle w:val="mqspa"/>
              <w:jc w:val="left"/>
            </w:pPr>
            <w:r>
              <w:rPr>
                <w:noProof w:val="0"/>
              </w:rPr>
              <w:t>Superar el Euro Short Term Rate (€STR) en al menos un 1% anual, tras deducir gastos, en cualquier periodo de tres años.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229</w:t>
              <w:br/>
            </w:r>
            <w:r>
              <w:rPr>
                <w:noProof/>
                <w:sz w:val="2"/>
              </w:rPr>
              <w:t>0bf0aacb-1885-4e70-9025-72d5dc708eec</w:t>
            </w:r>
          </w:p>
        </w:tc>
        <w:tc>
          <w:tcPr>
            <w:tcW w:w="360" w:type="dxa"/>
            <w:shd w:val="clear" w:color="auto" w:fill="F2F2F2"/>
          </w:tcPr>
          <w:p w:rsidR="00A77B3E">
            <w:pPr>
              <w:pStyle w:val="mqeng"/>
              <w:jc w:val="left"/>
            </w:pPr>
            <w:r>
              <w:rPr>
                <w:b/>
                <w:i w:val="0"/>
                <w:noProof/>
                <w:u w:val="none"/>
                <w:vertAlign w:val="baseline"/>
              </w:rPr>
              <w:t>Active Management and Benchmark Usage</w:t>
            </w:r>
          </w:p>
        </w:tc>
        <w:tc>
          <w:tcPr>
            <w:tcW w:w="360" w:type="dxa"/>
            <w:shd w:val="clear" w:color="auto" w:fill="auto"/>
          </w:tcPr>
          <w:p w:rsidR="00A77B3E">
            <w:pPr>
              <w:pStyle w:val="mqspa"/>
              <w:jc w:val="left"/>
            </w:pPr>
            <w:r>
              <w:rPr>
                <w:b/>
                <w:i w:val="0"/>
                <w:noProof w:val="0"/>
                <w:u w:val="none"/>
                <w:vertAlign w:val="baseline"/>
              </w:rPr>
              <w:t>Gestión activa y uso del Índice de referencia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230</w:t>
              <w:br/>
            </w:r>
            <w:r>
              <w:rPr>
                <w:noProof/>
                <w:sz w:val="2"/>
              </w:rPr>
              <w:t>2414a727-0872-432f-b209-ca5ba7c9963b</w:t>
            </w:r>
          </w:p>
        </w:tc>
        <w:tc>
          <w:tcPr>
            <w:tcW w:w="360" w:type="dxa"/>
            <w:shd w:val="clear" w:color="auto" w:fill="F2F2F2"/>
          </w:tcPr>
          <w:p w:rsidR="00A77B3E">
            <w:pPr>
              <w:pStyle w:val="mqeng"/>
              <w:jc w:val="left"/>
            </w:pPr>
            <w:r>
              <w:rPr>
                <w:noProof/>
              </w:rPr>
              <w:t>The Fund is actively managed and makes reference to the €STR as this forms the basis of the Fund’s Performance Target and the calculation of Performance Fees (if applicable).</w:t>
            </w:r>
          </w:p>
        </w:tc>
        <w:tc>
          <w:tcPr>
            <w:tcW w:w="360" w:type="dxa"/>
            <w:shd w:val="clear" w:color="auto" w:fill="auto"/>
          </w:tcPr>
          <w:p w:rsidR="00A77B3E">
            <w:pPr>
              <w:pStyle w:val="mqspa"/>
              <w:jc w:val="left"/>
            </w:pPr>
            <w:r>
              <w:rPr>
                <w:noProof w:val="0"/>
              </w:rPr>
              <w:t>El Fondo se gestiona activamente y hace referencia al €STR, ya que esto forma la base del Objetivo de rentabilidad del Fondo y el cálculo de las Comisiones de rentabilidad (en su caso).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231</w:t>
              <w:br/>
            </w:r>
            <w:r>
              <w:rPr>
                <w:noProof/>
                <w:sz w:val="2"/>
              </w:rPr>
              <w:t>15b4f484-2f57-4ff7-99f7-6df19e0ca2d5</w:t>
            </w:r>
          </w:p>
        </w:tc>
        <w:tc>
          <w:tcPr>
            <w:tcW w:w="360" w:type="dxa"/>
            <w:shd w:val="clear" w:color="auto" w:fill="F2F2F2"/>
          </w:tcPr>
          <w:p w:rsidR="00A77B3E">
            <w:pPr>
              <w:pStyle w:val="mqeng"/>
              <w:jc w:val="left"/>
            </w:pPr>
            <w:r>
              <w:rPr>
                <w:noProof/>
              </w:rPr>
              <w:t>For currency Hedged Share Classes, the rate that corresponds with the relevant Share Class currency is used as the basis of the performance comparison and for calculating Performance Fees.</w:t>
            </w:r>
          </w:p>
        </w:tc>
        <w:tc>
          <w:tcPr>
            <w:tcW w:w="360" w:type="dxa"/>
            <w:shd w:val="clear" w:color="auto" w:fill="auto"/>
          </w:tcPr>
          <w:p w:rsidR="00A77B3E">
            <w:pPr>
              <w:pStyle w:val="mqspa"/>
              <w:jc w:val="left"/>
            </w:pPr>
            <w:r>
              <w:rPr>
                <w:noProof w:val="0"/>
              </w:rPr>
              <w:t>Para las Clases de acciones con cobertura de divisas, el tipo que corresponde a la divisa de la Clase de acciones relevante se utiliza como base para la comparación de rentabilidad y para calcular las Comisiones de rentabilidad.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232</w:t>
              <w:br/>
            </w:r>
            <w:r>
              <w:rPr>
                <w:noProof/>
                <w:sz w:val="2"/>
              </w:rPr>
              <w:t>34a66dd8-bd0e-4fde-8b70-9d6ad38cffba</w:t>
            </w:r>
          </w:p>
        </w:tc>
        <w:tc>
          <w:tcPr>
            <w:tcW w:w="360" w:type="dxa"/>
            <w:shd w:val="clear" w:color="auto" w:fill="F2F2F2"/>
          </w:tcPr>
          <w:p w:rsidR="00A77B3E">
            <w:pPr>
              <w:pStyle w:val="mqeng"/>
              <w:jc w:val="left"/>
            </w:pPr>
            <w:r>
              <w:rPr>
                <w:noProof/>
              </w:rPr>
              <w:t>The Investment Manager has complete discretion to choose investments for the Fund and is not constrained by a benchmark.</w:t>
            </w:r>
          </w:p>
        </w:tc>
        <w:tc>
          <w:tcPr>
            <w:tcW w:w="360" w:type="dxa"/>
            <w:shd w:val="clear" w:color="auto" w:fill="auto"/>
          </w:tcPr>
          <w:p w:rsidR="00A77B3E">
            <w:pPr>
              <w:pStyle w:val="mqspa"/>
              <w:jc w:val="left"/>
            </w:pPr>
            <w:r>
              <w:rPr>
                <w:noProof w:val="0"/>
              </w:rPr>
              <w:t>El Gestor de inversiones tiene total discreción para elegir las inversiones para el Fondo y no está limitado por un índice de referencia.</w:t>
            </w:r>
          </w:p>
        </w:tc>
        <w:tc>
          <w:tcPr>
            <w:tcW w:w="360" w:type="dxa"/>
            <w:shd w:val="clear" w:color="auto" w:fill="auto"/>
          </w:tcPr>
          <w:p w:rsidR="00A77B3E">
            <w:pPr>
              <w:jc w:val="left"/>
            </w:pPr>
          </w:p>
        </w:tc>
        <w:tc>
          <w:tcPr>
            <w:tcW w:w="360" w:type="dxa"/>
            <w:shd w:val="clear" w:color="auto" w:fill="C8EBFF"/>
          </w:tcPr>
          <w:p w:rsidR="00A77B3E">
            <w:pPr>
              <w:jc w:val="left"/>
            </w:pPr>
            <w:r>
              <w:rPr>
                <w:noProof/>
                <w:sz w:val="16"/>
              </w:rPr>
              <w:t>Pre-translated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233</w:t>
              <w:br/>
            </w:r>
            <w:r>
              <w:rPr>
                <w:noProof/>
                <w:sz w:val="2"/>
              </w:rPr>
              <w:t>e7c8ed64-9d35-445e-9dae-9e507057d37d</w:t>
            </w:r>
          </w:p>
        </w:tc>
        <w:tc>
          <w:tcPr>
            <w:tcW w:w="360" w:type="dxa"/>
            <w:shd w:val="clear" w:color="auto" w:fill="F2F2F2"/>
          </w:tcPr>
          <w:p w:rsidR="00A77B3E">
            <w:pPr>
              <w:pStyle w:val="mqeng"/>
              <w:jc w:val="left"/>
            </w:pPr>
            <w:r>
              <w:rPr>
                <w:b/>
                <w:i w:val="0"/>
                <w:noProof/>
                <w:u w:val="none"/>
                <w:vertAlign w:val="baseline"/>
              </w:rPr>
              <w:t>Distribution Frequency</w:t>
            </w:r>
          </w:p>
        </w:tc>
        <w:tc>
          <w:tcPr>
            <w:tcW w:w="360" w:type="dxa"/>
            <w:shd w:val="clear" w:color="auto" w:fill="auto"/>
          </w:tcPr>
          <w:p w:rsidR="00A77B3E">
            <w:pPr>
              <w:pStyle w:val="mqspa"/>
              <w:jc w:val="left"/>
            </w:pPr>
            <w:r>
              <w:rPr>
                <w:b/>
                <w:i w:val="0"/>
                <w:noProof w:val="0"/>
                <w:u w:val="none"/>
                <w:vertAlign w:val="baseline"/>
              </w:rPr>
              <w:t>Frecuencia de distribución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234</w:t>
              <w:br/>
            </w:r>
            <w:r>
              <w:rPr>
                <w:noProof/>
                <w:sz w:val="2"/>
              </w:rPr>
              <w:t>f773733f-e664-4444-b640-b6ccda780d00</w:t>
            </w:r>
          </w:p>
        </w:tc>
        <w:tc>
          <w:tcPr>
            <w:tcW w:w="360" w:type="dxa"/>
            <w:shd w:val="clear" w:color="auto" w:fill="F2F2F2"/>
          </w:tcPr>
          <w:p w:rsidR="00A77B3E">
            <w:pPr>
              <w:pStyle w:val="mqeng"/>
              <w:jc w:val="left"/>
            </w:pPr>
            <w:r>
              <w:rPr>
                <w:b/>
                <w:i w:val="0"/>
                <w:noProof/>
                <w:u w:val="none"/>
                <w:vertAlign w:val="baseline"/>
              </w:rPr>
              <w:t>Distribution calculation date(s)</w:t>
            </w:r>
          </w:p>
        </w:tc>
        <w:tc>
          <w:tcPr>
            <w:tcW w:w="360" w:type="dxa"/>
            <w:shd w:val="clear" w:color="auto" w:fill="auto"/>
          </w:tcPr>
          <w:p w:rsidR="00A77B3E">
            <w:pPr>
              <w:pStyle w:val="mqspa"/>
              <w:jc w:val="left"/>
            </w:pPr>
            <w:r>
              <w:rPr>
                <w:b/>
                <w:i w:val="0"/>
                <w:noProof w:val="0"/>
                <w:u w:val="none"/>
                <w:vertAlign w:val="baseline"/>
              </w:rPr>
              <w:t>Fecha(s) de cálculo de la distribución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235</w:t>
              <w:br/>
            </w:r>
            <w:r>
              <w:rPr>
                <w:noProof/>
                <w:sz w:val="2"/>
              </w:rPr>
              <w:t>9c06833f-6ba9-42e0-a14b-29a5bde5443e</w:t>
            </w:r>
          </w:p>
        </w:tc>
        <w:tc>
          <w:tcPr>
            <w:tcW w:w="360" w:type="dxa"/>
            <w:shd w:val="clear" w:color="auto" w:fill="F2F2F2"/>
          </w:tcPr>
          <w:p w:rsidR="00A77B3E">
            <w:pPr>
              <w:pStyle w:val="mqeng"/>
              <w:jc w:val="left"/>
            </w:pPr>
            <w:r>
              <w:rPr>
                <w:b/>
                <w:i w:val="0"/>
                <w:noProof/>
                <w:u w:val="none"/>
                <w:vertAlign w:val="baseline"/>
              </w:rPr>
              <w:t>Distribution payment date(s)</w:t>
            </w:r>
          </w:p>
        </w:tc>
        <w:tc>
          <w:tcPr>
            <w:tcW w:w="360" w:type="dxa"/>
            <w:shd w:val="clear" w:color="auto" w:fill="auto"/>
          </w:tcPr>
          <w:p w:rsidR="00A77B3E">
            <w:pPr>
              <w:pStyle w:val="mqspa"/>
              <w:jc w:val="left"/>
            </w:pPr>
            <w:r>
              <w:rPr>
                <w:b/>
                <w:i w:val="0"/>
                <w:noProof w:val="0"/>
                <w:u w:val="none"/>
                <w:vertAlign w:val="baseline"/>
              </w:rPr>
              <w:t>Fecha(s) de pago de repartos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236</w:t>
              <w:br/>
            </w:r>
            <w:r>
              <w:rPr>
                <w:noProof/>
                <w:sz w:val="2"/>
              </w:rPr>
              <w:t>bc426aed-7a2b-4bf2-a051-9d92e6a6e176</w:t>
            </w:r>
          </w:p>
        </w:tc>
        <w:tc>
          <w:tcPr>
            <w:tcW w:w="360" w:type="dxa"/>
            <w:shd w:val="clear" w:color="auto" w:fill="F2F2F2"/>
          </w:tcPr>
          <w:p w:rsidR="00A77B3E">
            <w:pPr>
              <w:pStyle w:val="mqeng"/>
              <w:jc w:val="left"/>
            </w:pPr>
            <w:r>
              <w:rPr>
                <w:noProof/>
              </w:rPr>
              <w:t>Annually</w:t>
            </w:r>
          </w:p>
        </w:tc>
        <w:tc>
          <w:tcPr>
            <w:tcW w:w="360" w:type="dxa"/>
            <w:shd w:val="clear" w:color="auto" w:fill="auto"/>
          </w:tcPr>
          <w:p w:rsidR="00A77B3E">
            <w:pPr>
              <w:pStyle w:val="mqspa"/>
              <w:jc w:val="left"/>
            </w:pPr>
            <w:r>
              <w:rPr>
                <w:noProof w:val="0"/>
              </w:rPr>
              <w:t>Anualmente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237</w:t>
              <w:br/>
            </w:r>
            <w:r>
              <w:rPr>
                <w:noProof/>
                <w:sz w:val="2"/>
              </w:rPr>
              <w:t>98bef52f-8ad7-4441-b78e-dfa672824985</w:t>
            </w:r>
          </w:p>
        </w:tc>
        <w:tc>
          <w:tcPr>
            <w:tcW w:w="360" w:type="dxa"/>
            <w:shd w:val="clear" w:color="auto" w:fill="F2F2F2"/>
          </w:tcPr>
          <w:p w:rsidR="00A77B3E">
            <w:pPr>
              <w:pStyle w:val="mqeng"/>
              <w:jc w:val="left"/>
            </w:pPr>
            <w:r>
              <w:rPr>
                <w:noProof/>
              </w:rPr>
              <w:t>30 June</w:t>
            </w:r>
          </w:p>
        </w:tc>
        <w:tc>
          <w:tcPr>
            <w:tcW w:w="360" w:type="dxa"/>
            <w:shd w:val="clear" w:color="auto" w:fill="auto"/>
          </w:tcPr>
          <w:p w:rsidR="00A77B3E">
            <w:pPr>
              <w:pStyle w:val="mqspa"/>
              <w:jc w:val="left"/>
            </w:pPr>
            <w:r>
              <w:rPr>
                <w:noProof w:val="0"/>
              </w:rPr>
              <w:t>30 de junio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238</w:t>
              <w:br/>
            </w:r>
            <w:r>
              <w:rPr>
                <w:noProof/>
                <w:sz w:val="2"/>
              </w:rPr>
              <w:t>f64e7e6f-86ff-4d97-8dba-55ab287b9fcc</w:t>
            </w:r>
          </w:p>
        </w:tc>
        <w:tc>
          <w:tcPr>
            <w:tcW w:w="360" w:type="dxa"/>
            <w:shd w:val="clear" w:color="auto" w:fill="F2F2F2"/>
          </w:tcPr>
          <w:p w:rsidR="00A77B3E">
            <w:pPr>
              <w:pStyle w:val="mqeng"/>
              <w:jc w:val="left"/>
            </w:pPr>
            <w:r>
              <w:rPr>
                <w:rStyle w:val="mqInternal"/>
                <w:b w:val="0"/>
                <w:i w:val="0"/>
                <w:noProof/>
                <w:u w:val="none"/>
                <w:vertAlign w:val="baseline"/>
              </w:rPr>
              <w:t>[1}</w:t>
            </w:r>
            <w:r>
              <w:rPr>
                <w:noProof/>
              </w:rPr>
              <w:t>within 4 weeks of the Distribution Calculation date</w:t>
            </w:r>
            <w:r>
              <w:rPr>
                <w:rStyle w:val="mqInternal"/>
                <w:b w:val="0"/>
                <w:i w:val="0"/>
                <w:noProof/>
                <w:u w:val="none"/>
                <w:vertAlign w:val="baseline"/>
              </w:rPr>
              <w:t>{2]</w:t>
            </w:r>
          </w:p>
        </w:tc>
        <w:tc>
          <w:tcPr>
            <w:tcW w:w="360" w:type="dxa"/>
            <w:shd w:val="clear" w:color="auto" w:fill="auto"/>
          </w:tcPr>
          <w:p w:rsidR="00A77B3E">
            <w:pPr>
              <w:pStyle w:val="mqspa"/>
              <w:jc w:val="left"/>
            </w:pPr>
            <w:r>
              <w:rPr>
                <w:rStyle w:val="mqInternal"/>
                <w:b w:val="0"/>
                <w:i w:val="0"/>
                <w:noProof/>
                <w:u w:val="none"/>
                <w:vertAlign w:val="baseline"/>
              </w:rPr>
              <w:t>[1}</w:t>
            </w:r>
            <w:r>
              <w:rPr>
                <w:noProof w:val="0"/>
              </w:rPr>
              <w:t>en un plazo de 4 semanas tras la fecha de Cálculo del reparto</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239</w:t>
              <w:br/>
            </w:r>
            <w:r>
              <w:rPr>
                <w:noProof/>
                <w:sz w:val="2"/>
              </w:rPr>
              <w:t>b1fd4e4c-5cad-4d16-be89-9a4f3229ead7</w:t>
            </w:r>
          </w:p>
        </w:tc>
        <w:tc>
          <w:tcPr>
            <w:tcW w:w="360" w:type="dxa"/>
            <w:shd w:val="clear" w:color="auto" w:fill="F2F2F2"/>
          </w:tcPr>
          <w:p w:rsidR="00A77B3E">
            <w:pPr>
              <w:pStyle w:val="mqeng"/>
              <w:jc w:val="left"/>
            </w:pPr>
            <w:r>
              <w:rPr>
                <w:noProof/>
              </w:rPr>
              <w:t>Semi-annually</w:t>
            </w:r>
          </w:p>
        </w:tc>
        <w:tc>
          <w:tcPr>
            <w:tcW w:w="360" w:type="dxa"/>
            <w:shd w:val="clear" w:color="auto" w:fill="auto"/>
          </w:tcPr>
          <w:p w:rsidR="00A77B3E">
            <w:pPr>
              <w:pStyle w:val="mqspa"/>
              <w:jc w:val="left"/>
            </w:pPr>
            <w:r>
              <w:rPr>
                <w:noProof w:val="0"/>
              </w:rPr>
              <w:t>Semestral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240</w:t>
              <w:br/>
            </w:r>
            <w:r>
              <w:rPr>
                <w:noProof/>
                <w:sz w:val="2"/>
              </w:rPr>
              <w:t>fd11c0b6-1906-4c15-87fb-ec6e7557d329</w:t>
            </w:r>
          </w:p>
        </w:tc>
        <w:tc>
          <w:tcPr>
            <w:tcW w:w="360" w:type="dxa"/>
            <w:shd w:val="clear" w:color="auto" w:fill="F2F2F2"/>
          </w:tcPr>
          <w:p w:rsidR="00A77B3E">
            <w:pPr>
              <w:pStyle w:val="mqeng"/>
              <w:jc w:val="left"/>
            </w:pPr>
            <w:r>
              <w:rPr>
                <w:noProof/>
              </w:rPr>
              <w:t>30 June</w:t>
            </w:r>
          </w:p>
        </w:tc>
        <w:tc>
          <w:tcPr>
            <w:tcW w:w="360" w:type="dxa"/>
            <w:shd w:val="clear" w:color="auto" w:fill="auto"/>
          </w:tcPr>
          <w:p w:rsidR="00A77B3E">
            <w:pPr>
              <w:pStyle w:val="mqspa"/>
              <w:jc w:val="left"/>
            </w:pPr>
            <w:r>
              <w:rPr>
                <w:noProof w:val="0"/>
              </w:rPr>
              <w:t>30 de junio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241</w:t>
              <w:br/>
            </w:r>
            <w:r>
              <w:rPr>
                <w:noProof/>
                <w:sz w:val="2"/>
              </w:rPr>
              <w:t>07e80bbf-5be7-427f-8dad-936d2df0a26c</w:t>
            </w:r>
          </w:p>
        </w:tc>
        <w:tc>
          <w:tcPr>
            <w:tcW w:w="360" w:type="dxa"/>
            <w:shd w:val="clear" w:color="auto" w:fill="F2F2F2"/>
          </w:tcPr>
          <w:p w:rsidR="00A77B3E">
            <w:pPr>
              <w:pStyle w:val="mqeng"/>
              <w:jc w:val="left"/>
            </w:pPr>
            <w:r>
              <w:rPr>
                <w:noProof/>
              </w:rPr>
              <w:t>31 December</w:t>
            </w:r>
          </w:p>
        </w:tc>
        <w:tc>
          <w:tcPr>
            <w:tcW w:w="360" w:type="dxa"/>
            <w:shd w:val="clear" w:color="auto" w:fill="auto"/>
          </w:tcPr>
          <w:p w:rsidR="00A77B3E">
            <w:pPr>
              <w:pStyle w:val="mqspa"/>
              <w:jc w:val="left"/>
            </w:pPr>
            <w:r>
              <w:rPr>
                <w:noProof w:val="0"/>
              </w:rPr>
              <w:t>31 de diciembre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242</w:t>
              <w:br/>
            </w:r>
            <w:r>
              <w:rPr>
                <w:noProof/>
                <w:sz w:val="2"/>
              </w:rPr>
              <w:t>a4035673-341a-4621-9f18-272523960119</w:t>
            </w:r>
          </w:p>
        </w:tc>
        <w:tc>
          <w:tcPr>
            <w:tcW w:w="360" w:type="dxa"/>
            <w:shd w:val="clear" w:color="auto" w:fill="F2F2F2"/>
          </w:tcPr>
          <w:p w:rsidR="00A77B3E">
            <w:pPr>
              <w:pStyle w:val="mqeng"/>
              <w:jc w:val="left"/>
            </w:pPr>
            <w:r>
              <w:rPr>
                <w:rStyle w:val="mqInternal"/>
                <w:b w:val="0"/>
                <w:i w:val="0"/>
                <w:noProof/>
                <w:u w:val="none"/>
                <w:vertAlign w:val="baseline"/>
              </w:rPr>
              <w:t>[1}</w:t>
            </w:r>
            <w:r>
              <w:rPr>
                <w:noProof/>
              </w:rPr>
              <w:t>within 4 weeks of the Distribution Calculation date</w:t>
            </w:r>
            <w:r>
              <w:rPr>
                <w:rStyle w:val="mqInternal"/>
                <w:b w:val="0"/>
                <w:i w:val="0"/>
                <w:noProof/>
                <w:u w:val="none"/>
                <w:vertAlign w:val="baseline"/>
              </w:rPr>
              <w:t>{2]</w:t>
            </w:r>
          </w:p>
        </w:tc>
        <w:tc>
          <w:tcPr>
            <w:tcW w:w="360" w:type="dxa"/>
            <w:shd w:val="clear" w:color="auto" w:fill="auto"/>
          </w:tcPr>
          <w:p w:rsidR="00A77B3E">
            <w:pPr>
              <w:pStyle w:val="mqspa"/>
              <w:jc w:val="left"/>
            </w:pPr>
            <w:r>
              <w:rPr>
                <w:rStyle w:val="mqInternal"/>
                <w:b w:val="0"/>
                <w:i w:val="0"/>
                <w:noProof/>
                <w:u w:val="none"/>
                <w:vertAlign w:val="baseline"/>
              </w:rPr>
              <w:t>[1}</w:t>
            </w:r>
            <w:r>
              <w:rPr>
                <w:noProof w:val="0"/>
              </w:rPr>
              <w:t>en un plazo de 4 semanas tras la fecha de Cálculo del reparto</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243</w:t>
              <w:br/>
            </w:r>
            <w:r>
              <w:rPr>
                <w:noProof/>
                <w:sz w:val="2"/>
              </w:rPr>
              <w:t>9eb4893a-5683-4bef-aadc-01163a885960</w:t>
            </w:r>
          </w:p>
        </w:tc>
        <w:tc>
          <w:tcPr>
            <w:tcW w:w="360" w:type="dxa"/>
            <w:shd w:val="clear" w:color="auto" w:fill="F2F2F2"/>
          </w:tcPr>
          <w:p w:rsidR="00A77B3E">
            <w:pPr>
              <w:pStyle w:val="mqeng"/>
              <w:jc w:val="left"/>
            </w:pPr>
            <w:r>
              <w:rPr>
                <w:noProof/>
              </w:rPr>
              <w:t>Quarterly</w:t>
            </w:r>
          </w:p>
        </w:tc>
        <w:tc>
          <w:tcPr>
            <w:tcW w:w="360" w:type="dxa"/>
            <w:shd w:val="clear" w:color="auto" w:fill="auto"/>
          </w:tcPr>
          <w:p w:rsidR="00A77B3E">
            <w:pPr>
              <w:pStyle w:val="mqspa"/>
              <w:jc w:val="left"/>
            </w:pPr>
            <w:r>
              <w:rPr>
                <w:noProof w:val="0"/>
              </w:rPr>
              <w:t>Trimestral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244</w:t>
              <w:br/>
            </w:r>
            <w:r>
              <w:rPr>
                <w:noProof/>
                <w:sz w:val="2"/>
              </w:rPr>
              <w:t>6d69c76c-e0e0-436c-a61f-d0be96c9abeb</w:t>
            </w:r>
          </w:p>
        </w:tc>
        <w:tc>
          <w:tcPr>
            <w:tcW w:w="360" w:type="dxa"/>
            <w:shd w:val="clear" w:color="auto" w:fill="F2F2F2"/>
          </w:tcPr>
          <w:p w:rsidR="00A77B3E">
            <w:pPr>
              <w:pStyle w:val="mqeng"/>
              <w:jc w:val="left"/>
            </w:pPr>
            <w:r>
              <w:rPr>
                <w:noProof/>
              </w:rPr>
              <w:t>30 June</w:t>
            </w:r>
          </w:p>
        </w:tc>
        <w:tc>
          <w:tcPr>
            <w:tcW w:w="360" w:type="dxa"/>
            <w:shd w:val="clear" w:color="auto" w:fill="auto"/>
          </w:tcPr>
          <w:p w:rsidR="00A77B3E">
            <w:pPr>
              <w:pStyle w:val="mqspa"/>
              <w:jc w:val="left"/>
            </w:pPr>
            <w:r>
              <w:rPr>
                <w:noProof w:val="0"/>
              </w:rPr>
              <w:t>30 de junio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245</w:t>
              <w:br/>
            </w:r>
            <w:r>
              <w:rPr>
                <w:noProof/>
                <w:sz w:val="2"/>
              </w:rPr>
              <w:t>51bb4ac7-0e9f-4d52-b207-e6f5eeb2cb37</w:t>
            </w:r>
          </w:p>
        </w:tc>
        <w:tc>
          <w:tcPr>
            <w:tcW w:w="360" w:type="dxa"/>
            <w:shd w:val="clear" w:color="auto" w:fill="F2F2F2"/>
          </w:tcPr>
          <w:p w:rsidR="00A77B3E">
            <w:pPr>
              <w:pStyle w:val="mqeng"/>
              <w:jc w:val="left"/>
            </w:pPr>
            <w:r>
              <w:rPr>
                <w:noProof/>
              </w:rPr>
              <w:t>30 September</w:t>
            </w:r>
          </w:p>
        </w:tc>
        <w:tc>
          <w:tcPr>
            <w:tcW w:w="360" w:type="dxa"/>
            <w:shd w:val="clear" w:color="auto" w:fill="auto"/>
          </w:tcPr>
          <w:p w:rsidR="00A77B3E">
            <w:pPr>
              <w:pStyle w:val="mqspa"/>
              <w:jc w:val="left"/>
            </w:pPr>
            <w:r>
              <w:rPr>
                <w:noProof w:val="0"/>
              </w:rPr>
              <w:t>30 de septiembre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246</w:t>
              <w:br/>
            </w:r>
            <w:r>
              <w:rPr>
                <w:noProof/>
                <w:sz w:val="2"/>
              </w:rPr>
              <w:t>a817e7be-bf9b-417d-bbb5-3cb766517eb3</w:t>
            </w:r>
          </w:p>
        </w:tc>
        <w:tc>
          <w:tcPr>
            <w:tcW w:w="360" w:type="dxa"/>
            <w:shd w:val="clear" w:color="auto" w:fill="F2F2F2"/>
          </w:tcPr>
          <w:p w:rsidR="00A77B3E">
            <w:pPr>
              <w:pStyle w:val="mqeng"/>
              <w:jc w:val="left"/>
            </w:pPr>
            <w:r>
              <w:rPr>
                <w:noProof/>
              </w:rPr>
              <w:t>31 December</w:t>
            </w:r>
          </w:p>
        </w:tc>
        <w:tc>
          <w:tcPr>
            <w:tcW w:w="360" w:type="dxa"/>
            <w:shd w:val="clear" w:color="auto" w:fill="auto"/>
          </w:tcPr>
          <w:p w:rsidR="00A77B3E">
            <w:pPr>
              <w:pStyle w:val="mqspa"/>
              <w:jc w:val="left"/>
            </w:pPr>
            <w:r>
              <w:rPr>
                <w:noProof w:val="0"/>
              </w:rPr>
              <w:t>31 de diciembre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247</w:t>
              <w:br/>
            </w:r>
            <w:r>
              <w:rPr>
                <w:noProof/>
                <w:sz w:val="2"/>
              </w:rPr>
              <w:t>b54c64bc-cce9-4cf5-bc93-ee1a8bba7efd</w:t>
            </w:r>
          </w:p>
        </w:tc>
        <w:tc>
          <w:tcPr>
            <w:tcW w:w="360" w:type="dxa"/>
            <w:shd w:val="clear" w:color="auto" w:fill="F2F2F2"/>
          </w:tcPr>
          <w:p w:rsidR="00A77B3E">
            <w:pPr>
              <w:pStyle w:val="mqeng"/>
              <w:jc w:val="left"/>
            </w:pPr>
            <w:r>
              <w:rPr>
                <w:noProof/>
              </w:rPr>
              <w:t>31 March</w:t>
            </w:r>
          </w:p>
        </w:tc>
        <w:tc>
          <w:tcPr>
            <w:tcW w:w="360" w:type="dxa"/>
            <w:shd w:val="clear" w:color="auto" w:fill="auto"/>
          </w:tcPr>
          <w:p w:rsidR="00A77B3E">
            <w:pPr>
              <w:pStyle w:val="mqspa"/>
              <w:jc w:val="left"/>
            </w:pPr>
            <w:r>
              <w:rPr>
                <w:noProof w:val="0"/>
              </w:rPr>
              <w:t>31 de marzo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248</w:t>
              <w:br/>
            </w:r>
            <w:r>
              <w:rPr>
                <w:noProof/>
                <w:sz w:val="2"/>
              </w:rPr>
              <w:t>9c3db93d-429e-4e06-8e12-b4ddc974c08b</w:t>
            </w:r>
          </w:p>
        </w:tc>
        <w:tc>
          <w:tcPr>
            <w:tcW w:w="360" w:type="dxa"/>
            <w:shd w:val="clear" w:color="auto" w:fill="F2F2F2"/>
          </w:tcPr>
          <w:p w:rsidR="00A77B3E">
            <w:pPr>
              <w:pStyle w:val="mqeng"/>
              <w:jc w:val="left"/>
            </w:pPr>
            <w:r>
              <w:rPr>
                <w:rStyle w:val="mqInternal"/>
                <w:b w:val="0"/>
                <w:i w:val="0"/>
                <w:noProof/>
                <w:u w:val="none"/>
                <w:vertAlign w:val="baseline"/>
              </w:rPr>
              <w:t>[1}</w:t>
            </w:r>
            <w:r>
              <w:rPr>
                <w:noProof/>
              </w:rPr>
              <w:t>within 4 weeks of the Distribution Calculation date</w:t>
            </w:r>
            <w:r>
              <w:rPr>
                <w:rStyle w:val="mqInternal"/>
                <w:b w:val="0"/>
                <w:i w:val="0"/>
                <w:noProof/>
                <w:u w:val="none"/>
                <w:vertAlign w:val="baseline"/>
              </w:rPr>
              <w:t>{2]</w:t>
            </w:r>
          </w:p>
        </w:tc>
        <w:tc>
          <w:tcPr>
            <w:tcW w:w="360" w:type="dxa"/>
            <w:shd w:val="clear" w:color="auto" w:fill="auto"/>
          </w:tcPr>
          <w:p w:rsidR="00A77B3E">
            <w:pPr>
              <w:pStyle w:val="mqspa"/>
              <w:jc w:val="left"/>
            </w:pPr>
            <w:r>
              <w:rPr>
                <w:rStyle w:val="mqInternal"/>
                <w:b w:val="0"/>
                <w:i w:val="0"/>
                <w:noProof/>
                <w:u w:val="none"/>
                <w:vertAlign w:val="baseline"/>
              </w:rPr>
              <w:t>[1}</w:t>
            </w:r>
            <w:r>
              <w:rPr>
                <w:noProof w:val="0"/>
              </w:rPr>
              <w:t>en un plazo de 4 semanas tras la fecha de Cálculo del reparto</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249</w:t>
              <w:br/>
            </w:r>
            <w:r>
              <w:rPr>
                <w:noProof/>
                <w:sz w:val="2"/>
              </w:rPr>
              <w:t>1e701bce-55d4-4c5b-bf25-ce4403aeb721</w:t>
            </w:r>
          </w:p>
        </w:tc>
        <w:tc>
          <w:tcPr>
            <w:tcW w:w="360" w:type="dxa"/>
            <w:shd w:val="clear" w:color="auto" w:fill="F2F2F2"/>
          </w:tcPr>
          <w:p w:rsidR="00A77B3E">
            <w:pPr>
              <w:pStyle w:val="mqeng"/>
              <w:jc w:val="left"/>
            </w:pPr>
            <w:r>
              <w:rPr>
                <w:noProof/>
              </w:rPr>
              <w:t>Monthly</w:t>
            </w:r>
          </w:p>
        </w:tc>
        <w:tc>
          <w:tcPr>
            <w:tcW w:w="360" w:type="dxa"/>
            <w:shd w:val="clear" w:color="auto" w:fill="auto"/>
          </w:tcPr>
          <w:p w:rsidR="00A77B3E">
            <w:pPr>
              <w:pStyle w:val="mqspa"/>
              <w:jc w:val="left"/>
            </w:pPr>
            <w:r>
              <w:rPr>
                <w:noProof w:val="0"/>
              </w:rPr>
              <w:t>Mensual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250</w:t>
              <w:br/>
            </w:r>
            <w:r>
              <w:rPr>
                <w:noProof/>
                <w:sz w:val="2"/>
              </w:rPr>
              <w:t>74b89173-a159-4775-abbe-75011f6ddfb1</w:t>
            </w:r>
          </w:p>
        </w:tc>
        <w:tc>
          <w:tcPr>
            <w:tcW w:w="360" w:type="dxa"/>
            <w:shd w:val="clear" w:color="auto" w:fill="F2F2F2"/>
          </w:tcPr>
          <w:p w:rsidR="00A77B3E">
            <w:pPr>
              <w:pStyle w:val="mqeng"/>
              <w:jc w:val="left"/>
            </w:pPr>
            <w:r>
              <w:rPr>
                <w:noProof/>
              </w:rPr>
              <w:t>30 June</w:t>
            </w:r>
          </w:p>
        </w:tc>
        <w:tc>
          <w:tcPr>
            <w:tcW w:w="360" w:type="dxa"/>
            <w:shd w:val="clear" w:color="auto" w:fill="auto"/>
          </w:tcPr>
          <w:p w:rsidR="00A77B3E">
            <w:pPr>
              <w:pStyle w:val="mqspa"/>
              <w:jc w:val="left"/>
            </w:pPr>
            <w:r>
              <w:rPr>
                <w:noProof w:val="0"/>
              </w:rPr>
              <w:t>30 de junio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251</w:t>
              <w:br/>
            </w:r>
            <w:r>
              <w:rPr>
                <w:noProof/>
                <w:sz w:val="2"/>
              </w:rPr>
              <w:t>cd4286af-2e52-4e99-bee8-de4f0b423cbd</w:t>
            </w:r>
          </w:p>
        </w:tc>
        <w:tc>
          <w:tcPr>
            <w:tcW w:w="360" w:type="dxa"/>
            <w:shd w:val="clear" w:color="auto" w:fill="F2F2F2"/>
          </w:tcPr>
          <w:p w:rsidR="00A77B3E">
            <w:pPr>
              <w:pStyle w:val="mqeng"/>
              <w:jc w:val="left"/>
            </w:pPr>
            <w:r>
              <w:rPr>
                <w:noProof/>
              </w:rPr>
              <w:t>31 July</w:t>
            </w:r>
          </w:p>
        </w:tc>
        <w:tc>
          <w:tcPr>
            <w:tcW w:w="360" w:type="dxa"/>
            <w:shd w:val="clear" w:color="auto" w:fill="auto"/>
          </w:tcPr>
          <w:p w:rsidR="00A77B3E">
            <w:pPr>
              <w:pStyle w:val="mqspa"/>
              <w:jc w:val="left"/>
            </w:pPr>
            <w:r>
              <w:rPr>
                <w:noProof w:val="0"/>
              </w:rPr>
              <w:t>31 de julio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252</w:t>
              <w:br/>
            </w:r>
            <w:r>
              <w:rPr>
                <w:noProof/>
                <w:sz w:val="2"/>
              </w:rPr>
              <w:t>d7d1d311-d47b-474c-8166-31f1dd8742aa</w:t>
            </w:r>
          </w:p>
        </w:tc>
        <w:tc>
          <w:tcPr>
            <w:tcW w:w="360" w:type="dxa"/>
            <w:shd w:val="clear" w:color="auto" w:fill="F2F2F2"/>
          </w:tcPr>
          <w:p w:rsidR="00A77B3E">
            <w:pPr>
              <w:pStyle w:val="mqeng"/>
              <w:jc w:val="left"/>
            </w:pPr>
            <w:r>
              <w:rPr>
                <w:noProof/>
              </w:rPr>
              <w:t>31 August</w:t>
            </w:r>
          </w:p>
        </w:tc>
        <w:tc>
          <w:tcPr>
            <w:tcW w:w="360" w:type="dxa"/>
            <w:shd w:val="clear" w:color="auto" w:fill="auto"/>
          </w:tcPr>
          <w:p w:rsidR="00A77B3E">
            <w:pPr>
              <w:pStyle w:val="mqspa"/>
              <w:jc w:val="left"/>
            </w:pPr>
            <w:r>
              <w:rPr>
                <w:noProof w:val="0"/>
              </w:rPr>
              <w:t>31 de agosto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253</w:t>
              <w:br/>
            </w:r>
            <w:r>
              <w:rPr>
                <w:noProof/>
                <w:sz w:val="2"/>
              </w:rPr>
              <w:t>81618f3a-9dd0-4113-9828-9367126952fe</w:t>
            </w:r>
          </w:p>
        </w:tc>
        <w:tc>
          <w:tcPr>
            <w:tcW w:w="360" w:type="dxa"/>
            <w:shd w:val="clear" w:color="auto" w:fill="F2F2F2"/>
          </w:tcPr>
          <w:p w:rsidR="00A77B3E">
            <w:pPr>
              <w:pStyle w:val="mqeng"/>
              <w:jc w:val="left"/>
            </w:pPr>
            <w:r>
              <w:rPr>
                <w:noProof/>
              </w:rPr>
              <w:t>30 September</w:t>
            </w:r>
          </w:p>
        </w:tc>
        <w:tc>
          <w:tcPr>
            <w:tcW w:w="360" w:type="dxa"/>
            <w:shd w:val="clear" w:color="auto" w:fill="auto"/>
          </w:tcPr>
          <w:p w:rsidR="00A77B3E">
            <w:pPr>
              <w:pStyle w:val="mqspa"/>
              <w:jc w:val="left"/>
            </w:pPr>
            <w:r>
              <w:rPr>
                <w:noProof w:val="0"/>
              </w:rPr>
              <w:t>30 de septiembre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254</w:t>
              <w:br/>
            </w:r>
            <w:r>
              <w:rPr>
                <w:noProof/>
                <w:sz w:val="2"/>
              </w:rPr>
              <w:t>aaee1256-7a19-412b-96a7-1a18a6299d81</w:t>
            </w:r>
          </w:p>
        </w:tc>
        <w:tc>
          <w:tcPr>
            <w:tcW w:w="360" w:type="dxa"/>
            <w:shd w:val="clear" w:color="auto" w:fill="F2F2F2"/>
          </w:tcPr>
          <w:p w:rsidR="00A77B3E">
            <w:pPr>
              <w:pStyle w:val="mqeng"/>
              <w:jc w:val="left"/>
            </w:pPr>
            <w:r>
              <w:rPr>
                <w:noProof/>
              </w:rPr>
              <w:t>31 October</w:t>
            </w:r>
          </w:p>
        </w:tc>
        <w:tc>
          <w:tcPr>
            <w:tcW w:w="360" w:type="dxa"/>
            <w:shd w:val="clear" w:color="auto" w:fill="auto"/>
          </w:tcPr>
          <w:p w:rsidR="00A77B3E">
            <w:pPr>
              <w:pStyle w:val="mqspa"/>
              <w:jc w:val="left"/>
            </w:pPr>
            <w:r>
              <w:rPr>
                <w:noProof w:val="0"/>
              </w:rPr>
              <w:t>31 de octubre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255</w:t>
              <w:br/>
            </w:r>
            <w:r>
              <w:rPr>
                <w:noProof/>
                <w:sz w:val="2"/>
              </w:rPr>
              <w:t>4698d88e-db79-47df-9ef8-70ce60a6c017</w:t>
            </w:r>
          </w:p>
        </w:tc>
        <w:tc>
          <w:tcPr>
            <w:tcW w:w="360" w:type="dxa"/>
            <w:shd w:val="clear" w:color="auto" w:fill="F2F2F2"/>
          </w:tcPr>
          <w:p w:rsidR="00A77B3E">
            <w:pPr>
              <w:pStyle w:val="mqeng"/>
              <w:jc w:val="left"/>
            </w:pPr>
            <w:r>
              <w:rPr>
                <w:noProof/>
              </w:rPr>
              <w:t>30 November</w:t>
            </w:r>
          </w:p>
        </w:tc>
        <w:tc>
          <w:tcPr>
            <w:tcW w:w="360" w:type="dxa"/>
            <w:shd w:val="clear" w:color="auto" w:fill="auto"/>
          </w:tcPr>
          <w:p w:rsidR="00A77B3E">
            <w:pPr>
              <w:pStyle w:val="mqspa"/>
              <w:jc w:val="left"/>
            </w:pPr>
            <w:r>
              <w:rPr>
                <w:noProof w:val="0"/>
              </w:rPr>
              <w:t>30 de noviembre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256</w:t>
              <w:br/>
            </w:r>
            <w:r>
              <w:rPr>
                <w:noProof/>
                <w:sz w:val="2"/>
              </w:rPr>
              <w:t>29ebb046-b320-40df-a96e-21e3a85dc9ec</w:t>
            </w:r>
          </w:p>
        </w:tc>
        <w:tc>
          <w:tcPr>
            <w:tcW w:w="360" w:type="dxa"/>
            <w:shd w:val="clear" w:color="auto" w:fill="F2F2F2"/>
          </w:tcPr>
          <w:p w:rsidR="00A77B3E">
            <w:pPr>
              <w:pStyle w:val="mqeng"/>
              <w:jc w:val="left"/>
            </w:pPr>
            <w:r>
              <w:rPr>
                <w:noProof/>
              </w:rPr>
              <w:t>31 December</w:t>
            </w:r>
          </w:p>
        </w:tc>
        <w:tc>
          <w:tcPr>
            <w:tcW w:w="360" w:type="dxa"/>
            <w:shd w:val="clear" w:color="auto" w:fill="auto"/>
          </w:tcPr>
          <w:p w:rsidR="00A77B3E">
            <w:pPr>
              <w:pStyle w:val="mqspa"/>
              <w:jc w:val="left"/>
            </w:pPr>
            <w:r>
              <w:rPr>
                <w:noProof w:val="0"/>
              </w:rPr>
              <w:t>31 de diciembre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257</w:t>
              <w:br/>
            </w:r>
            <w:r>
              <w:rPr>
                <w:noProof/>
                <w:sz w:val="2"/>
              </w:rPr>
              <w:t>495023f8-faec-4ea3-84ee-7839edf4afa9</w:t>
            </w:r>
          </w:p>
        </w:tc>
        <w:tc>
          <w:tcPr>
            <w:tcW w:w="360" w:type="dxa"/>
            <w:shd w:val="clear" w:color="auto" w:fill="F2F2F2"/>
          </w:tcPr>
          <w:p w:rsidR="00A77B3E">
            <w:pPr>
              <w:pStyle w:val="mqeng"/>
              <w:jc w:val="left"/>
            </w:pPr>
            <w:r>
              <w:rPr>
                <w:noProof/>
              </w:rPr>
              <w:t>31 January</w:t>
            </w:r>
          </w:p>
        </w:tc>
        <w:tc>
          <w:tcPr>
            <w:tcW w:w="360" w:type="dxa"/>
            <w:shd w:val="clear" w:color="auto" w:fill="auto"/>
          </w:tcPr>
          <w:p w:rsidR="00A77B3E">
            <w:pPr>
              <w:pStyle w:val="mqspa"/>
              <w:jc w:val="left"/>
            </w:pPr>
            <w:r>
              <w:rPr>
                <w:noProof w:val="0"/>
              </w:rPr>
              <w:t>31 de enero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258</w:t>
              <w:br/>
            </w:r>
            <w:r>
              <w:rPr>
                <w:noProof/>
                <w:sz w:val="2"/>
              </w:rPr>
              <w:t>2424c71e-b19b-415e-bf38-fba58dfec9bd</w:t>
            </w:r>
          </w:p>
        </w:tc>
        <w:tc>
          <w:tcPr>
            <w:tcW w:w="360" w:type="dxa"/>
            <w:shd w:val="clear" w:color="auto" w:fill="F2F2F2"/>
          </w:tcPr>
          <w:p w:rsidR="00A77B3E">
            <w:pPr>
              <w:pStyle w:val="mqeng"/>
              <w:jc w:val="left"/>
            </w:pPr>
            <w:r>
              <w:rPr>
                <w:noProof/>
              </w:rPr>
              <w:t>28 February</w:t>
            </w:r>
          </w:p>
        </w:tc>
        <w:tc>
          <w:tcPr>
            <w:tcW w:w="360" w:type="dxa"/>
            <w:shd w:val="clear" w:color="auto" w:fill="auto"/>
          </w:tcPr>
          <w:p w:rsidR="00A77B3E">
            <w:pPr>
              <w:pStyle w:val="mqspa"/>
              <w:jc w:val="left"/>
            </w:pPr>
            <w:r>
              <w:rPr>
                <w:noProof w:val="0"/>
              </w:rPr>
              <w:t>28 de febrero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259</w:t>
              <w:br/>
            </w:r>
            <w:r>
              <w:rPr>
                <w:noProof/>
                <w:sz w:val="2"/>
              </w:rPr>
              <w:t>2dff58f2-4015-4077-b24b-abebded43165</w:t>
            </w:r>
          </w:p>
        </w:tc>
        <w:tc>
          <w:tcPr>
            <w:tcW w:w="360" w:type="dxa"/>
            <w:shd w:val="clear" w:color="auto" w:fill="F2F2F2"/>
          </w:tcPr>
          <w:p w:rsidR="00A77B3E">
            <w:pPr>
              <w:pStyle w:val="mqeng"/>
              <w:jc w:val="left"/>
            </w:pPr>
            <w:r>
              <w:rPr>
                <w:noProof/>
              </w:rPr>
              <w:t>31 March</w:t>
            </w:r>
          </w:p>
        </w:tc>
        <w:tc>
          <w:tcPr>
            <w:tcW w:w="360" w:type="dxa"/>
            <w:shd w:val="clear" w:color="auto" w:fill="auto"/>
          </w:tcPr>
          <w:p w:rsidR="00A77B3E">
            <w:pPr>
              <w:pStyle w:val="mqspa"/>
              <w:jc w:val="left"/>
            </w:pPr>
            <w:r>
              <w:rPr>
                <w:noProof w:val="0"/>
              </w:rPr>
              <w:t>31 de marzo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260</w:t>
              <w:br/>
            </w:r>
            <w:r>
              <w:rPr>
                <w:noProof/>
                <w:sz w:val="2"/>
              </w:rPr>
              <w:t>0cfcd5fa-3b6d-472d-8463-e7e417a2cdd7</w:t>
            </w:r>
          </w:p>
        </w:tc>
        <w:tc>
          <w:tcPr>
            <w:tcW w:w="360" w:type="dxa"/>
            <w:shd w:val="clear" w:color="auto" w:fill="F2F2F2"/>
          </w:tcPr>
          <w:p w:rsidR="00A77B3E">
            <w:pPr>
              <w:pStyle w:val="mqeng"/>
              <w:jc w:val="left"/>
            </w:pPr>
            <w:r>
              <w:rPr>
                <w:noProof/>
              </w:rPr>
              <w:t>30 April</w:t>
            </w:r>
          </w:p>
        </w:tc>
        <w:tc>
          <w:tcPr>
            <w:tcW w:w="360" w:type="dxa"/>
            <w:shd w:val="clear" w:color="auto" w:fill="auto"/>
          </w:tcPr>
          <w:p w:rsidR="00A77B3E">
            <w:pPr>
              <w:pStyle w:val="mqspa"/>
              <w:jc w:val="left"/>
            </w:pPr>
            <w:r>
              <w:rPr>
                <w:noProof w:val="0"/>
              </w:rPr>
              <w:t>30 de abril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261</w:t>
              <w:br/>
            </w:r>
            <w:r>
              <w:rPr>
                <w:noProof/>
                <w:sz w:val="2"/>
              </w:rPr>
              <w:t>ace54d23-3203-490d-9210-d09de32d4aac</w:t>
            </w:r>
          </w:p>
        </w:tc>
        <w:tc>
          <w:tcPr>
            <w:tcW w:w="360" w:type="dxa"/>
            <w:shd w:val="clear" w:color="auto" w:fill="F2F2F2"/>
          </w:tcPr>
          <w:p w:rsidR="00A77B3E">
            <w:pPr>
              <w:pStyle w:val="mqeng"/>
              <w:jc w:val="left"/>
            </w:pPr>
            <w:r>
              <w:rPr>
                <w:noProof/>
              </w:rPr>
              <w:t>31 May</w:t>
            </w:r>
          </w:p>
        </w:tc>
        <w:tc>
          <w:tcPr>
            <w:tcW w:w="360" w:type="dxa"/>
            <w:shd w:val="clear" w:color="auto" w:fill="auto"/>
          </w:tcPr>
          <w:p w:rsidR="00A77B3E">
            <w:pPr>
              <w:pStyle w:val="mqspa"/>
              <w:jc w:val="left"/>
            </w:pPr>
            <w:r>
              <w:rPr>
                <w:noProof w:val="0"/>
              </w:rPr>
              <w:t>31 de mayo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262</w:t>
              <w:br/>
            </w:r>
            <w:r>
              <w:rPr>
                <w:noProof/>
                <w:sz w:val="2"/>
              </w:rPr>
              <w:t>ae5829f2-40a8-4dc0-a8d1-6411df089209</w:t>
            </w:r>
          </w:p>
        </w:tc>
        <w:tc>
          <w:tcPr>
            <w:tcW w:w="360" w:type="dxa"/>
            <w:shd w:val="clear" w:color="auto" w:fill="F2F2F2"/>
          </w:tcPr>
          <w:p w:rsidR="00A77B3E">
            <w:pPr>
              <w:pStyle w:val="mqeng"/>
              <w:jc w:val="left"/>
            </w:pPr>
            <w:r>
              <w:rPr>
                <w:rStyle w:val="mqInternal"/>
                <w:b w:val="0"/>
                <w:i w:val="0"/>
                <w:noProof/>
                <w:u w:val="none"/>
                <w:vertAlign w:val="baseline"/>
              </w:rPr>
              <w:t>[1}</w:t>
            </w:r>
            <w:r>
              <w:rPr>
                <w:noProof/>
              </w:rPr>
              <w:t>within 4 weeks of the Distribution Calculation date</w:t>
            </w:r>
            <w:r>
              <w:rPr>
                <w:rStyle w:val="mqInternal"/>
                <w:b w:val="0"/>
                <w:i w:val="0"/>
                <w:noProof/>
                <w:u w:val="none"/>
                <w:vertAlign w:val="baseline"/>
              </w:rPr>
              <w:t>{2]</w:t>
            </w:r>
          </w:p>
        </w:tc>
        <w:tc>
          <w:tcPr>
            <w:tcW w:w="360" w:type="dxa"/>
            <w:shd w:val="clear" w:color="auto" w:fill="auto"/>
          </w:tcPr>
          <w:p w:rsidR="00A77B3E">
            <w:pPr>
              <w:pStyle w:val="mqspa"/>
              <w:jc w:val="left"/>
            </w:pPr>
            <w:r>
              <w:rPr>
                <w:rStyle w:val="mqInternal"/>
                <w:b w:val="0"/>
                <w:i w:val="0"/>
                <w:noProof/>
                <w:u w:val="none"/>
                <w:vertAlign w:val="baseline"/>
              </w:rPr>
              <w:t>[1}</w:t>
            </w:r>
            <w:r>
              <w:rPr>
                <w:noProof w:val="0"/>
              </w:rPr>
              <w:t>en un plazo de 4 semanas tras la fecha de Cálculo del reparto</w:t>
            </w:r>
            <w:r>
              <w:rPr>
                <w:rStyle w:val="mqInternal"/>
                <w:b w:val="0"/>
                <w:i w:val="0"/>
                <w:noProof/>
                <w:u w:val="none"/>
                <w:vertAlign w:val="baseline"/>
              </w:rPr>
              <w:t>{2]</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263</w:t>
              <w:br/>
            </w:r>
            <w:r>
              <w:rPr>
                <w:noProof/>
                <w:sz w:val="2"/>
              </w:rPr>
              <w:t>aa79b851-2b0a-483d-a8b7-940d612481c6</w:t>
            </w:r>
          </w:p>
        </w:tc>
        <w:tc>
          <w:tcPr>
            <w:tcW w:w="360" w:type="dxa"/>
            <w:shd w:val="clear" w:color="auto" w:fill="F2F2F2"/>
          </w:tcPr>
          <w:p w:rsidR="00A77B3E">
            <w:pPr>
              <w:pStyle w:val="mqeng"/>
              <w:jc w:val="left"/>
            </w:pPr>
            <w:r>
              <w:rPr>
                <w:noProof/>
              </w:rPr>
              <w:t>10.</w:t>
            </w:r>
            <w:r>
              <w:rPr>
                <w:rStyle w:val="mqInternal"/>
                <w:b w:val="0"/>
                <w:i w:val="0"/>
                <w:noProof/>
                <w:u w:val="none"/>
                <w:vertAlign w:val="baseline"/>
              </w:rPr>
              <w:t>[1]</w:t>
            </w:r>
            <w:r>
              <w:rPr>
                <w:noProof/>
              </w:rPr>
              <w:t>Investment Restrictions</w:t>
            </w:r>
          </w:p>
        </w:tc>
        <w:tc>
          <w:tcPr>
            <w:tcW w:w="360" w:type="dxa"/>
            <w:shd w:val="clear" w:color="auto" w:fill="auto"/>
          </w:tcPr>
          <w:p w:rsidR="00A77B3E">
            <w:pPr>
              <w:pStyle w:val="mqspa"/>
              <w:jc w:val="left"/>
            </w:pPr>
            <w:r>
              <w:rPr>
                <w:noProof w:val="0"/>
              </w:rPr>
              <w:t>10.</w:t>
            </w:r>
            <w:r>
              <w:rPr>
                <w:rStyle w:val="mqInternal"/>
                <w:b w:val="0"/>
                <w:i w:val="0"/>
                <w:noProof/>
                <w:u w:val="none"/>
                <w:vertAlign w:val="baseline"/>
              </w:rPr>
              <w:t>[1]</w:t>
            </w:r>
            <w:r>
              <w:rPr>
                <w:noProof w:val="0"/>
              </w:rPr>
              <w:t>Restricciones de inversión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264</w:t>
              <w:br/>
            </w:r>
            <w:r>
              <w:rPr>
                <w:noProof/>
                <w:sz w:val="2"/>
              </w:rPr>
              <w:t>ce500aaf-e9e5-4f6e-a63f-b049ccf5ec3d</w:t>
            </w:r>
          </w:p>
        </w:tc>
        <w:tc>
          <w:tcPr>
            <w:tcW w:w="360" w:type="dxa"/>
            <w:shd w:val="clear" w:color="auto" w:fill="F2F2F2"/>
          </w:tcPr>
          <w:p w:rsidR="00A77B3E">
            <w:pPr>
              <w:pStyle w:val="mqeng"/>
              <w:jc w:val="left"/>
            </w:pPr>
            <w:r>
              <w:rPr>
                <w:noProof/>
              </w:rPr>
              <w:t>The Directors have power, based upon the principle of spreading of risk, to determine the corporate and investment policy for each Fund and the course of conduct of the management and business affairs of the Company.</w:t>
            </w:r>
          </w:p>
        </w:tc>
        <w:tc>
          <w:tcPr>
            <w:tcW w:w="360" w:type="dxa"/>
            <w:shd w:val="clear" w:color="auto" w:fill="auto"/>
          </w:tcPr>
          <w:p w:rsidR="00A77B3E">
            <w:pPr>
              <w:pStyle w:val="mqspa"/>
              <w:jc w:val="left"/>
            </w:pPr>
            <w:r>
              <w:rPr>
                <w:noProof w:val="0"/>
              </w:rPr>
              <w:t>Los Consejeros tienen poder, en base al principio de diversificación del riesgo, para determinar la política corporativa y de inversión de cada Fondo y la forma de funcionamiento de la gestión y actividad de la Compañía.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265</w:t>
              <w:br/>
            </w:r>
            <w:r>
              <w:rPr>
                <w:noProof/>
                <w:sz w:val="2"/>
              </w:rPr>
              <w:t>4b652d41-13b8-462b-a488-610260ee5d45</w:t>
            </w:r>
          </w:p>
        </w:tc>
        <w:tc>
          <w:tcPr>
            <w:tcW w:w="360" w:type="dxa"/>
            <w:shd w:val="clear" w:color="auto" w:fill="F2F2F2"/>
          </w:tcPr>
          <w:p w:rsidR="00A77B3E">
            <w:pPr>
              <w:pStyle w:val="mqeng"/>
              <w:jc w:val="left"/>
            </w:pPr>
            <w:r>
              <w:rPr>
                <w:noProof/>
              </w:rPr>
              <w:t>Pursuant thereto the Directors have resolved that:</w:t>
            </w:r>
          </w:p>
        </w:tc>
        <w:tc>
          <w:tcPr>
            <w:tcW w:w="360" w:type="dxa"/>
            <w:shd w:val="clear" w:color="auto" w:fill="auto"/>
          </w:tcPr>
          <w:p w:rsidR="00A77B3E">
            <w:pPr>
              <w:pStyle w:val="mqspa"/>
              <w:jc w:val="left"/>
            </w:pPr>
            <w:r>
              <w:rPr>
                <w:noProof w:val="0"/>
              </w:rPr>
              <w:t>En virtud de lo anterior, los Consejeros han decidido que: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266</w:t>
              <w:br/>
            </w:r>
            <w:r>
              <w:rPr>
                <w:noProof/>
                <w:sz w:val="2"/>
              </w:rPr>
              <w:t>8197f0ec-0f75-44ae-aa61-f43250327f29</w:t>
            </w:r>
          </w:p>
        </w:tc>
        <w:tc>
          <w:tcPr>
            <w:tcW w:w="360" w:type="dxa"/>
            <w:shd w:val="clear" w:color="auto" w:fill="F2F2F2"/>
          </w:tcPr>
          <w:p w:rsidR="00A77B3E">
            <w:pPr>
              <w:pStyle w:val="mqeng"/>
              <w:jc w:val="left"/>
            </w:pPr>
            <w:r>
              <w:rPr>
                <w:noProof/>
              </w:rPr>
              <w:t>10.1</w:t>
            </w:r>
            <w:r>
              <w:rPr>
                <w:rStyle w:val="mqInternal"/>
                <w:b w:val="0"/>
                <w:i w:val="0"/>
                <w:noProof/>
                <w:u w:val="none"/>
                <w:vertAlign w:val="baseline"/>
              </w:rPr>
              <w:t>[1]</w:t>
            </w:r>
            <w:r>
              <w:rPr>
                <w:noProof/>
              </w:rPr>
              <w:t>Investments in the Funds shall consist of:</w:t>
            </w:r>
          </w:p>
        </w:tc>
        <w:tc>
          <w:tcPr>
            <w:tcW w:w="360" w:type="dxa"/>
            <w:shd w:val="clear" w:color="auto" w:fill="auto"/>
          </w:tcPr>
          <w:p w:rsidR="00A77B3E">
            <w:pPr>
              <w:pStyle w:val="mqspa"/>
              <w:jc w:val="left"/>
            </w:pPr>
            <w:r>
              <w:rPr>
                <w:noProof w:val="0"/>
              </w:rPr>
              <w:t>10.1</w:t>
            </w:r>
            <w:r>
              <w:rPr>
                <w:rStyle w:val="mqInternal"/>
                <w:b w:val="0"/>
                <w:i w:val="0"/>
                <w:noProof/>
                <w:u w:val="none"/>
                <w:vertAlign w:val="baseline"/>
              </w:rPr>
              <w:t>[1]</w:t>
            </w:r>
            <w:r>
              <w:rPr>
                <w:noProof w:val="0"/>
              </w:rPr>
              <w:t>Las inversiones en los Fondos consistirán en: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267</w:t>
              <w:br/>
            </w:r>
            <w:r>
              <w:rPr>
                <w:noProof/>
                <w:sz w:val="2"/>
              </w:rPr>
              <w:t>3205cdc7-2426-4fbe-a3a3-e55c37afa59d</w:t>
            </w:r>
          </w:p>
        </w:tc>
        <w:tc>
          <w:tcPr>
            <w:tcW w:w="360" w:type="dxa"/>
            <w:shd w:val="clear" w:color="auto" w:fill="F2F2F2"/>
          </w:tcPr>
          <w:p w:rsidR="00A77B3E">
            <w:pPr>
              <w:pStyle w:val="mqeng"/>
              <w:jc w:val="left"/>
            </w:pPr>
            <w:r>
              <w:rPr>
                <w:noProof/>
              </w:rPr>
              <w:t>(a)</w:t>
            </w:r>
            <w:r>
              <w:rPr>
                <w:rStyle w:val="mqInternal"/>
                <w:b w:val="0"/>
                <w:i w:val="0"/>
                <w:noProof/>
                <w:u w:val="none"/>
                <w:vertAlign w:val="baseline"/>
              </w:rPr>
              <w:t>[1]</w:t>
            </w:r>
            <w:r>
              <w:rPr>
                <w:noProof/>
              </w:rPr>
              <w:t>Transferable Securities and Money Market Instruments admitted to official listings on stock exchanges in Member States,</w:t>
            </w:r>
          </w:p>
        </w:tc>
        <w:tc>
          <w:tcPr>
            <w:tcW w:w="360" w:type="dxa"/>
            <w:shd w:val="clear" w:color="auto" w:fill="auto"/>
          </w:tcPr>
          <w:p w:rsidR="00A77B3E">
            <w:pPr>
              <w:pStyle w:val="mqspa"/>
              <w:jc w:val="left"/>
            </w:pPr>
            <w:r>
              <w:rPr>
                <w:noProof w:val="0"/>
              </w:rPr>
              <w:t>(a)</w:t>
            </w:r>
            <w:r>
              <w:rPr>
                <w:rStyle w:val="mqInternal"/>
                <w:b w:val="0"/>
                <w:i w:val="0"/>
                <w:noProof/>
                <w:u w:val="none"/>
                <w:vertAlign w:val="baseline"/>
              </w:rPr>
              <w:t>[1]</w:t>
            </w:r>
            <w:r>
              <w:rPr>
                <w:noProof w:val="0"/>
              </w:rPr>
              <w:t>Valores mobiliarios e Instrumentos del mercado monetario admitidos a cotización oficial en bolsas de valores de Estados miembros,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268</w:t>
              <w:br/>
            </w:r>
            <w:r>
              <w:rPr>
                <w:noProof/>
                <w:sz w:val="2"/>
              </w:rPr>
              <w:t>3da57429-a663-4e4e-8430-d3e7c058c16d</w:t>
            </w:r>
          </w:p>
        </w:tc>
        <w:tc>
          <w:tcPr>
            <w:tcW w:w="360" w:type="dxa"/>
            <w:shd w:val="clear" w:color="auto" w:fill="F2F2F2"/>
          </w:tcPr>
          <w:p w:rsidR="00A77B3E">
            <w:pPr>
              <w:pStyle w:val="mqeng"/>
              <w:jc w:val="left"/>
            </w:pPr>
            <w:r>
              <w:rPr>
                <w:noProof/>
              </w:rPr>
              <w:t>(b)</w:t>
            </w:r>
            <w:r>
              <w:rPr>
                <w:rStyle w:val="mqInternal"/>
                <w:b w:val="0"/>
                <w:i w:val="0"/>
                <w:noProof/>
                <w:u w:val="none"/>
                <w:vertAlign w:val="baseline"/>
              </w:rPr>
              <w:t>[1]</w:t>
            </w:r>
            <w:r>
              <w:rPr>
                <w:noProof/>
              </w:rPr>
              <w:t>Transferable Securities and Money Market Instruments dealt in on other Regulated Markets in Member States, that are operating regularly, are recognised and are open to the public,</w:t>
            </w:r>
          </w:p>
        </w:tc>
        <w:tc>
          <w:tcPr>
            <w:tcW w:w="360" w:type="dxa"/>
            <w:shd w:val="clear" w:color="auto" w:fill="auto"/>
          </w:tcPr>
          <w:p w:rsidR="00A77B3E">
            <w:pPr>
              <w:pStyle w:val="mqspa"/>
              <w:jc w:val="left"/>
            </w:pPr>
            <w:r>
              <w:rPr>
                <w:noProof w:val="0"/>
              </w:rPr>
              <w:t>(B)</w:t>
            </w:r>
            <w:r>
              <w:rPr>
                <w:rStyle w:val="mqInternal"/>
                <w:b w:val="0"/>
                <w:i w:val="0"/>
                <w:noProof/>
                <w:u w:val="none"/>
                <w:vertAlign w:val="baseline"/>
              </w:rPr>
              <w:t>[1]</w:t>
            </w:r>
            <w:r>
              <w:rPr>
                <w:noProof w:val="0"/>
              </w:rPr>
              <w:t>Valores mobiliarios e Instrumentos de Mercado monetario negociados en otros mercados regulados en Estados miembros, que operan regularmente, están reconocidos y son abiertos al público,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269</w:t>
              <w:br/>
            </w:r>
            <w:r>
              <w:rPr>
                <w:noProof/>
                <w:sz w:val="2"/>
              </w:rPr>
              <w:t>cb5d0a0f-b26c-431f-afa5-94d8255ccd6f</w:t>
            </w:r>
          </w:p>
        </w:tc>
        <w:tc>
          <w:tcPr>
            <w:tcW w:w="360" w:type="dxa"/>
            <w:shd w:val="clear" w:color="auto" w:fill="F2F2F2"/>
          </w:tcPr>
          <w:p w:rsidR="00A77B3E">
            <w:pPr>
              <w:pStyle w:val="mqeng"/>
              <w:jc w:val="left"/>
            </w:pPr>
            <w:r>
              <w:rPr>
                <w:noProof/>
              </w:rPr>
              <w:t>(c)</w:t>
            </w:r>
            <w:r>
              <w:rPr>
                <w:rStyle w:val="mqInternal"/>
                <w:b w:val="0"/>
                <w:i w:val="0"/>
                <w:noProof/>
                <w:u w:val="none"/>
                <w:vertAlign w:val="baseline"/>
              </w:rPr>
              <w:t>[1]</w:t>
            </w:r>
            <w:r>
              <w:rPr>
                <w:noProof/>
              </w:rPr>
              <w:t>Transferable Securities and Money Market Instruments admitted to official listings on stock exchanges in any other country in Eastern and Western Europe the American continent, Asia, Oceania and Africa,</w:t>
            </w:r>
          </w:p>
        </w:tc>
        <w:tc>
          <w:tcPr>
            <w:tcW w:w="360" w:type="dxa"/>
            <w:shd w:val="clear" w:color="auto" w:fill="auto"/>
          </w:tcPr>
          <w:p w:rsidR="00A77B3E">
            <w:pPr>
              <w:pStyle w:val="mqspa"/>
              <w:jc w:val="left"/>
            </w:pPr>
            <w:r>
              <w:rPr>
                <w:noProof w:val="0"/>
              </w:rPr>
              <w:t>(C)</w:t>
            </w:r>
            <w:r>
              <w:rPr>
                <w:rStyle w:val="mqInternal"/>
                <w:b w:val="0"/>
                <w:i w:val="0"/>
                <w:noProof/>
                <w:u w:val="none"/>
                <w:vertAlign w:val="baseline"/>
              </w:rPr>
              <w:t>[1]</w:t>
            </w:r>
            <w:r>
              <w:rPr>
                <w:noProof w:val="0"/>
              </w:rPr>
              <w:t>Valores mobiliarios e Instrumentos del mercado monetario admitidos a cotización oficial en bolsas de valores de cualquier otro país en Este y Western Europe, el continente American, Asia, Oceanía y África,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270</w:t>
              <w:br/>
            </w:r>
            <w:r>
              <w:rPr>
                <w:noProof/>
                <w:sz w:val="2"/>
              </w:rPr>
              <w:t>63d46139-8743-4e5f-bce7-e5e31abca2c9</w:t>
            </w:r>
          </w:p>
        </w:tc>
        <w:tc>
          <w:tcPr>
            <w:tcW w:w="360" w:type="dxa"/>
            <w:shd w:val="clear" w:color="auto" w:fill="F2F2F2"/>
          </w:tcPr>
          <w:p w:rsidR="00A77B3E">
            <w:pPr>
              <w:pStyle w:val="mqeng"/>
              <w:jc w:val="left"/>
            </w:pPr>
            <w:r>
              <w:rPr>
                <w:noProof/>
              </w:rPr>
              <w:t>(d)</w:t>
            </w:r>
            <w:r>
              <w:rPr>
                <w:rStyle w:val="mqInternal"/>
                <w:b w:val="0"/>
                <w:i w:val="0"/>
                <w:noProof/>
                <w:u w:val="none"/>
                <w:vertAlign w:val="baseline"/>
              </w:rPr>
              <w:t>[1]</w:t>
            </w:r>
            <w:r>
              <w:rPr>
                <w:noProof/>
              </w:rPr>
              <w:t>Transferable Securities and Money Market Instruments dealt in on other Regulated Markets that are operating regularly, are recognised and open to the public of any other country in Eastern and Western Europe, the American Continent, Asia, Oceania and Africa,</w:t>
            </w:r>
          </w:p>
        </w:tc>
        <w:tc>
          <w:tcPr>
            <w:tcW w:w="360" w:type="dxa"/>
            <w:shd w:val="clear" w:color="auto" w:fill="auto"/>
          </w:tcPr>
          <w:p w:rsidR="00A77B3E">
            <w:pPr>
              <w:pStyle w:val="mqspa"/>
              <w:jc w:val="left"/>
            </w:pPr>
            <w:r>
              <w:rPr>
                <w:noProof w:val="0"/>
              </w:rPr>
              <w:t>(D)</w:t>
            </w:r>
            <w:r>
              <w:rPr>
                <w:rStyle w:val="mqInternal"/>
                <w:b w:val="0"/>
                <w:i w:val="0"/>
                <w:noProof/>
                <w:u w:val="none"/>
                <w:vertAlign w:val="baseline"/>
              </w:rPr>
              <w:t>[1]</w:t>
            </w:r>
            <w:r>
              <w:rPr>
                <w:noProof w:val="0"/>
              </w:rPr>
              <w:t>Valores mobiliarios e Instrumentos del mercado monetario negociados en otros mercados regulados que operan regularmente, son reconocidos y están abiertos al público de cualquier otro país en Europa del Este y Europa occidental, el Continente Americano, Asia, Oceanía y África,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271</w:t>
              <w:br/>
            </w:r>
            <w:r>
              <w:rPr>
                <w:noProof/>
                <w:sz w:val="2"/>
              </w:rPr>
              <w:t>db03201e-8874-41c9-9875-d6d1bb53bdc7</w:t>
            </w:r>
          </w:p>
        </w:tc>
        <w:tc>
          <w:tcPr>
            <w:tcW w:w="360" w:type="dxa"/>
            <w:shd w:val="clear" w:color="auto" w:fill="F2F2F2"/>
          </w:tcPr>
          <w:p w:rsidR="00A77B3E">
            <w:pPr>
              <w:pStyle w:val="mqeng"/>
              <w:jc w:val="left"/>
            </w:pPr>
            <w:r>
              <w:rPr>
                <w:noProof/>
              </w:rPr>
              <w:t>(e)</w:t>
            </w:r>
            <w:r>
              <w:rPr>
                <w:rStyle w:val="mqInternal"/>
                <w:b w:val="0"/>
                <w:i w:val="0"/>
                <w:noProof/>
                <w:u w:val="none"/>
                <w:vertAlign w:val="baseline"/>
              </w:rPr>
              <w:t>[1]</w:t>
            </w:r>
            <w:r>
              <w:rPr>
                <w:noProof/>
              </w:rPr>
              <w:t>Recently issued Transferable Securities and Money Market Instruments provided that the terms of the issue include an undertaking that application will be made for admission to the official listing on one of the stock exchanges as specified in a) and c) or Regulated Markets that are operating regularly, are recognised and open to the public as specified in b) and d) and that such admission is secured within a year of issue,</w:t>
            </w:r>
          </w:p>
        </w:tc>
        <w:tc>
          <w:tcPr>
            <w:tcW w:w="360" w:type="dxa"/>
            <w:shd w:val="clear" w:color="auto" w:fill="auto"/>
          </w:tcPr>
          <w:p w:rsidR="00A77B3E">
            <w:pPr>
              <w:pStyle w:val="mqspa"/>
              <w:jc w:val="left"/>
            </w:pPr>
            <w:r>
              <w:rPr>
                <w:noProof w:val="0"/>
              </w:rPr>
              <w:t>(e)</w:t>
            </w:r>
            <w:r>
              <w:rPr>
                <w:rStyle w:val="mqInternal"/>
                <w:b w:val="0"/>
                <w:i w:val="0"/>
                <w:noProof/>
                <w:u w:val="none"/>
                <w:vertAlign w:val="baseline"/>
              </w:rPr>
              <w:t>[1]</w:t>
            </w:r>
            <w:r>
              <w:rPr>
                <w:noProof w:val="0"/>
              </w:rPr>
              <w:t>Valores mobiliarios e Instrumentos del Mercado Monetario de reciente emisión, siempre que los términos de la emisión incluyan el compromiso de que se solicitará la admisión a la cotización oficial en una de las bolsas de valores especificadas en a) y c) o en Mercados Regulados que operen regularmente, sean reconocidos y estén abiertos al público como se especifica en b) y d), y que dicha admisión esté garantizada en el plazo de un año a partir de la emisión,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272</w:t>
              <w:br/>
            </w:r>
            <w:r>
              <w:rPr>
                <w:noProof/>
                <w:sz w:val="2"/>
              </w:rPr>
              <w:t>6f3235d6-401e-4fe1-a57b-6aa8b875ed0a</w:t>
            </w:r>
          </w:p>
        </w:tc>
        <w:tc>
          <w:tcPr>
            <w:tcW w:w="360" w:type="dxa"/>
            <w:shd w:val="clear" w:color="auto" w:fill="F2F2F2"/>
          </w:tcPr>
          <w:p w:rsidR="00A77B3E">
            <w:pPr>
              <w:pStyle w:val="mqeng"/>
              <w:jc w:val="left"/>
            </w:pPr>
            <w:r>
              <w:rPr>
                <w:rStyle w:val="mqInternal"/>
                <w:b w:val="0"/>
                <w:i w:val="0"/>
                <w:noProof/>
                <w:u w:val="none"/>
                <w:vertAlign w:val="baseline"/>
              </w:rPr>
              <w:t>[1}</w:t>
            </w:r>
            <w:r>
              <w:rPr>
                <w:noProof/>
              </w:rPr>
              <w:t>(f)</w:t>
            </w:r>
            <w:r>
              <w:rPr>
                <w:rStyle w:val="mqInternal"/>
                <w:b w:val="0"/>
                <w:i w:val="0"/>
                <w:noProof/>
                <w:u w:val="none"/>
                <w:vertAlign w:val="baseline"/>
              </w:rPr>
              <w:t>[2]</w:t>
            </w:r>
            <w:r>
              <w:rPr>
                <w:rStyle w:val="mqInternal"/>
                <w:b w:val="0"/>
                <w:i w:val="0"/>
                <w:noProof/>
                <w:u w:val="none"/>
                <w:vertAlign w:val="baseline"/>
              </w:rPr>
              <w:t>{3]</w:t>
            </w:r>
            <w:r>
              <w:rPr>
                <w:rStyle w:val="mqInternal"/>
                <w:b w:val="0"/>
                <w:i w:val="0"/>
                <w:noProof/>
                <w:u w:val="none"/>
                <w:vertAlign w:val="baseline"/>
              </w:rPr>
              <w:t>[4}</w:t>
            </w:r>
            <w:r>
              <w:rPr>
                <w:noProof/>
              </w:rPr>
              <w:t xml:space="preserve">Units of UCITS and/or other undertakings for collective investment (“UCIs”) within the meaning of Article 1(2), first and second indents of the </w:t>
            </w:r>
            <w:r>
              <w:rPr>
                <w:rStyle w:val="mqInternal"/>
                <w:b w:val="0"/>
                <w:i w:val="0"/>
                <w:noProof/>
                <w:u w:val="none"/>
                <w:vertAlign w:val="baseline"/>
              </w:rPr>
              <w:t>{5]</w:t>
            </w:r>
            <w:r>
              <w:rPr>
                <w:rStyle w:val="mqInternal"/>
                <w:b w:val="0"/>
                <w:i w:val="0"/>
                <w:noProof/>
                <w:u w:val="none"/>
                <w:vertAlign w:val="baseline"/>
              </w:rPr>
              <w:t>[6}</w:t>
            </w:r>
            <w:r>
              <w:rPr>
                <w:noProof/>
              </w:rPr>
              <w:t>UCITS Directive</w:t>
            </w:r>
            <w:r>
              <w:rPr>
                <w:rStyle w:val="mqInternal"/>
                <w:b w:val="0"/>
                <w:i w:val="0"/>
                <w:noProof/>
                <w:u w:val="none"/>
                <w:vertAlign w:val="baseline"/>
              </w:rPr>
              <w:t>{7]</w:t>
            </w:r>
            <w:r>
              <w:rPr>
                <w:rStyle w:val="mqInternal"/>
                <w:b w:val="0"/>
                <w:i w:val="0"/>
                <w:noProof/>
                <w:u w:val="none"/>
                <w:vertAlign w:val="baseline"/>
              </w:rPr>
              <w:t>[8}</w:t>
            </w:r>
            <w:r>
              <w:rPr>
                <w:noProof/>
              </w:rPr>
              <w:t>, as amended, whether they are situated in a Member State or not, provided that:</w:t>
            </w:r>
            <w:r>
              <w:rPr>
                <w:rStyle w:val="mqInternal"/>
                <w:b w:val="0"/>
                <w:i w:val="0"/>
                <w:noProof/>
                <w:u w:val="none"/>
                <w:vertAlign w:val="baseline"/>
              </w:rPr>
              <w:t>{9]</w:t>
            </w:r>
          </w:p>
        </w:tc>
        <w:tc>
          <w:tcPr>
            <w:tcW w:w="360" w:type="dxa"/>
            <w:shd w:val="clear" w:color="auto" w:fill="auto"/>
          </w:tcPr>
          <w:p w:rsidR="00A77B3E">
            <w:pPr>
              <w:pStyle w:val="mqspa"/>
              <w:jc w:val="left"/>
            </w:pPr>
            <w:r>
              <w:rPr>
                <w:rStyle w:val="mqInternal"/>
                <w:b w:val="0"/>
                <w:i w:val="0"/>
                <w:noProof/>
                <w:u w:val="none"/>
                <w:vertAlign w:val="baseline"/>
              </w:rPr>
              <w:t>[1}</w:t>
            </w:r>
            <w:r>
              <w:rPr>
                <w:noProof w:val="0"/>
              </w:rPr>
              <w:t>(F)</w:t>
            </w:r>
            <w:r>
              <w:rPr>
                <w:rStyle w:val="mqInternal"/>
                <w:b w:val="0"/>
                <w:i w:val="0"/>
                <w:noProof/>
                <w:u w:val="none"/>
                <w:vertAlign w:val="baseline"/>
              </w:rPr>
              <w:t>[2]</w:t>
            </w:r>
            <w:r>
              <w:rPr>
                <w:rStyle w:val="mqInternal"/>
                <w:b w:val="0"/>
                <w:i w:val="0"/>
                <w:noProof/>
                <w:u w:val="none"/>
                <w:vertAlign w:val="baseline"/>
              </w:rPr>
              <w:t>{3]</w:t>
            </w:r>
            <w:r>
              <w:rPr>
                <w:rStyle w:val="mqInternal"/>
                <w:b w:val="0"/>
                <w:i w:val="0"/>
                <w:noProof/>
                <w:u w:val="none"/>
                <w:vertAlign w:val="baseline"/>
              </w:rPr>
              <w:t>[4}</w:t>
            </w:r>
            <w:r>
              <w:rPr>
                <w:noProof w:val="0"/>
              </w:rPr>
              <w:t xml:space="preserve">Participaciones de OICVM y/o otros organismos de inversión colectiva ("IIC") en el sentido del Artículo 1(2), primero y segundos de la </w:t>
            </w:r>
            <w:r>
              <w:rPr>
                <w:rStyle w:val="mqInternal"/>
                <w:b w:val="0"/>
                <w:i w:val="0"/>
                <w:noProof/>
                <w:u w:val="none"/>
                <w:vertAlign w:val="baseline"/>
              </w:rPr>
              <w:t>{5]</w:t>
            </w:r>
            <w:r>
              <w:rPr>
                <w:rStyle w:val="mqInternal"/>
                <w:b w:val="0"/>
                <w:i w:val="0"/>
                <w:noProof/>
                <w:u w:val="none"/>
                <w:vertAlign w:val="baseline"/>
              </w:rPr>
              <w:t>[6}</w:t>
            </w:r>
            <w:r>
              <w:rPr>
                <w:noProof w:val="0"/>
              </w:rPr>
              <w:t>Directiva OICVM</w:t>
            </w:r>
            <w:r>
              <w:rPr>
                <w:rStyle w:val="mqInternal"/>
                <w:b w:val="0"/>
                <w:i w:val="0"/>
                <w:noProof/>
                <w:u w:val="none"/>
                <w:vertAlign w:val="baseline"/>
              </w:rPr>
              <w:t>[8}</w:t>
            </w:r>
            <w:r>
              <w:rPr>
                <w:noProof w:val="0"/>
              </w:rPr>
              <w:t xml:space="preserve"> </w:t>
            </w:r>
            <w:r>
              <w:rPr>
                <w:rStyle w:val="mqInternal"/>
                <w:b w:val="0"/>
                <w:i w:val="0"/>
                <w:noProof/>
                <w:u w:val="none"/>
                <w:vertAlign w:val="baseline"/>
              </w:rPr>
              <w:t>{9]</w:t>
            </w:r>
            <w:r>
              <w:rPr>
                <w:noProof w:val="0"/>
              </w:rPr>
              <w:t>, versión modificada, ya se encuentren situados en un Estado miembro o no, siempre que:</w:t>
            </w:r>
            <w:r>
              <w:rPr>
                <w:rStyle w:val="mqInternal"/>
                <w:b w:val="0"/>
                <w:i w:val="0"/>
                <w:noProof/>
                <w:u w:val="none"/>
                <w:vertAlign w:val="baseline"/>
              </w:rPr>
              <w:t>{7]</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273</w:t>
              <w:br/>
            </w:r>
            <w:r>
              <w:rPr>
                <w:noProof/>
                <w:sz w:val="2"/>
              </w:rPr>
              <w:t>671af293-9d6d-411e-8bca-093bb4cc9a91</w:t>
            </w:r>
          </w:p>
        </w:tc>
        <w:tc>
          <w:tcPr>
            <w:tcW w:w="360" w:type="dxa"/>
            <w:shd w:val="clear" w:color="auto" w:fill="F2F2F2"/>
          </w:tcPr>
          <w:p w:rsidR="00A77B3E">
            <w:pPr>
              <w:pStyle w:val="mqeng"/>
              <w:jc w:val="left"/>
            </w:pPr>
            <w:r>
              <w:rPr>
                <w:noProof/>
              </w:rPr>
              <w:t>such other UCIs are authorized under laws which provide that they are subject to supervision considered by the Commission de Surveillance du Secteur Financier (“CSSF”) to be equivalent to that laid down in Community law, and that cooperation between authorities is sufficiently ensured;</w:t>
            </w:r>
          </w:p>
        </w:tc>
        <w:tc>
          <w:tcPr>
            <w:tcW w:w="360" w:type="dxa"/>
            <w:shd w:val="clear" w:color="auto" w:fill="auto"/>
          </w:tcPr>
          <w:p w:rsidR="00A77B3E">
            <w:pPr>
              <w:pStyle w:val="mqspa"/>
              <w:jc w:val="left"/>
            </w:pPr>
            <w:r>
              <w:rPr>
                <w:noProof w:val="0"/>
              </w:rPr>
              <w:t>dichas otras OIC están autorizadas en virtud de leyes que disponen que están sujetas a una supervisión que la Commission de Surveillance du Secteur Financier ("CSSF") considera equivalente a la establecida en la legislación comunitaria, y que la cooperación entre las autoridades está suficientemente garantizada;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274</w:t>
              <w:br/>
            </w:r>
            <w:r>
              <w:rPr>
                <w:noProof/>
                <w:sz w:val="2"/>
              </w:rPr>
              <w:t>76ea824d-d17d-4848-9d04-2b38448c35f0</w:t>
            </w:r>
          </w:p>
        </w:tc>
        <w:tc>
          <w:tcPr>
            <w:tcW w:w="360" w:type="dxa"/>
            <w:shd w:val="clear" w:color="auto" w:fill="F2F2F2"/>
          </w:tcPr>
          <w:p w:rsidR="00A77B3E">
            <w:pPr>
              <w:pStyle w:val="mqeng"/>
              <w:jc w:val="left"/>
            </w:pPr>
            <w:r>
              <w:rPr>
                <w:noProof/>
              </w:rPr>
              <w:t xml:space="preserve">the level of protection for unitholders in the other UCIs is equivalent to that provided for unitholders in a UCITS, and in particular that the rules on asset segregation, borrowing, lending, and uncovered sales of Transferable Securities and Money Market Instruments are equivalent to the requirements of the </w:t>
            </w:r>
            <w:r>
              <w:rPr>
                <w:rStyle w:val="mqInternal"/>
                <w:b w:val="0"/>
                <w:i w:val="0"/>
                <w:noProof/>
                <w:u w:val="none"/>
                <w:vertAlign w:val="baseline"/>
              </w:rPr>
              <w:t>[1}</w:t>
            </w:r>
            <w:r>
              <w:rPr>
                <w:noProof/>
              </w:rPr>
              <w:t>UCITS Directive</w:t>
            </w:r>
            <w:r>
              <w:rPr>
                <w:rStyle w:val="mqInternal"/>
                <w:b w:val="0"/>
                <w:i w:val="0"/>
                <w:noProof/>
                <w:u w:val="none"/>
                <w:vertAlign w:val="baseline"/>
              </w:rPr>
              <w:t>{2]</w:t>
            </w:r>
            <w:r>
              <w:rPr>
                <w:noProof/>
              </w:rPr>
              <w:t>, as amended;</w:t>
            </w:r>
          </w:p>
        </w:tc>
        <w:tc>
          <w:tcPr>
            <w:tcW w:w="360" w:type="dxa"/>
            <w:shd w:val="clear" w:color="auto" w:fill="auto"/>
          </w:tcPr>
          <w:p w:rsidR="00A77B3E">
            <w:pPr>
              <w:pStyle w:val="mqspa"/>
              <w:jc w:val="left"/>
            </w:pPr>
            <w:r>
              <w:rPr>
                <w:noProof w:val="0"/>
              </w:rPr>
              <w:t xml:space="preserve">el nivel de protección para los partícipes de los otros OIC sea equivalente al que se ofrece a los partícipes de un OICVM, y en particular que las normas sobre segregación de activos, préstamos, préstamos y ventas no cubiertas de Valores mobiliarios e Instrumentos del Mercado monetario sean equivalentes a los requisitos de la </w:t>
            </w:r>
            <w:r>
              <w:rPr>
                <w:rStyle w:val="mqInternal"/>
                <w:b w:val="0"/>
                <w:i w:val="0"/>
                <w:noProof/>
                <w:u w:val="none"/>
                <w:vertAlign w:val="baseline"/>
              </w:rPr>
              <w:t>[1}</w:t>
            </w:r>
            <w:r>
              <w:rPr>
                <w:noProof w:val="0"/>
              </w:rPr>
              <w:t>Directiva sobre OICVM</w:t>
            </w:r>
            <w:r>
              <w:rPr>
                <w:rStyle w:val="mqInternal"/>
                <w:b w:val="0"/>
                <w:i w:val="0"/>
                <w:noProof/>
                <w:u w:val="none"/>
                <w:vertAlign w:val="baseline"/>
              </w:rPr>
              <w:t>{2]</w:t>
            </w:r>
            <w:r>
              <w:rPr>
                <w:noProof w:val="0"/>
              </w:rPr>
              <w:t>, enmendada;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275</w:t>
              <w:br/>
            </w:r>
            <w:r>
              <w:rPr>
                <w:noProof/>
                <w:sz w:val="2"/>
              </w:rPr>
              <w:t>1cab8bc5-e8be-4124-b35d-93622e4b2de3</w:t>
            </w:r>
          </w:p>
        </w:tc>
        <w:tc>
          <w:tcPr>
            <w:tcW w:w="360" w:type="dxa"/>
            <w:shd w:val="clear" w:color="auto" w:fill="F2F2F2"/>
          </w:tcPr>
          <w:p w:rsidR="00A77B3E">
            <w:pPr>
              <w:pStyle w:val="mqeng"/>
              <w:jc w:val="left"/>
            </w:pPr>
            <w:r>
              <w:rPr>
                <w:noProof/>
              </w:rPr>
              <w:t>the business of the other UCIs is reported in half-yearly and annual reports to enable an assessment to be made of the assets and liabilities, income and operations over the reporting period;</w:t>
            </w:r>
          </w:p>
        </w:tc>
        <w:tc>
          <w:tcPr>
            <w:tcW w:w="360" w:type="dxa"/>
            <w:shd w:val="clear" w:color="auto" w:fill="auto"/>
          </w:tcPr>
          <w:p w:rsidR="00A77B3E">
            <w:pPr>
              <w:pStyle w:val="mqspa"/>
              <w:jc w:val="left"/>
            </w:pPr>
            <w:r>
              <w:rPr>
                <w:noProof w:val="0"/>
              </w:rPr>
              <w:t>las actividades de las otras OIC se informan en informes semestrales y anuales para permitir una valoración de los activos y pasivos, ingresos y operaciones durante el período del informe;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276</w:t>
              <w:br/>
            </w:r>
            <w:r>
              <w:rPr>
                <w:noProof/>
                <w:sz w:val="2"/>
              </w:rPr>
              <w:t>38e79074-da88-4266-9ced-84a3476cf16d</w:t>
            </w:r>
          </w:p>
        </w:tc>
        <w:tc>
          <w:tcPr>
            <w:tcW w:w="360" w:type="dxa"/>
            <w:shd w:val="clear" w:color="auto" w:fill="F2F2F2"/>
          </w:tcPr>
          <w:p w:rsidR="00A77B3E">
            <w:pPr>
              <w:pStyle w:val="mqeng"/>
              <w:jc w:val="left"/>
            </w:pPr>
            <w:r>
              <w:rPr>
                <w:noProof/>
              </w:rPr>
              <w:t>no more than 10% of the UCITS' or the other UCIs’ assets (or of the assets of any sub-fund thereof, provided that the principle of segregation of liabilities of the different compartments is ensured in relation to third parties), whose acquisition is contemplated, can, according to their constitutional documents, be invested in aggregate in units of other UCITS or other UCIs;</w:t>
            </w:r>
          </w:p>
        </w:tc>
        <w:tc>
          <w:tcPr>
            <w:tcW w:w="360" w:type="dxa"/>
            <w:shd w:val="clear" w:color="auto" w:fill="auto"/>
          </w:tcPr>
          <w:p w:rsidR="00A77B3E">
            <w:pPr>
              <w:pStyle w:val="mqspa"/>
              <w:jc w:val="left"/>
            </w:pPr>
            <w:r>
              <w:rPr>
                <w:noProof w:val="0"/>
              </w:rPr>
              <w:t>no más del 10% de los activos de los OICVM o de los otros OIC (o de los activos de cualquier subfondo de los mismos, siempre que se garantice el principio de segregación de las obligaciones de los diferentes compartimentos en relación con terceros), cuya adquisición se contempla, puede, conforme a sus documentos de constitución, ser invertido en su conjunto en participaciones de otros OICVM o de otros OIC;</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277</w:t>
              <w:br/>
            </w:r>
            <w:r>
              <w:rPr>
                <w:noProof/>
                <w:sz w:val="2"/>
              </w:rPr>
              <w:t>1e0f5460-c0f9-4301-8659-25c41f1ecc47</w:t>
            </w:r>
          </w:p>
        </w:tc>
        <w:tc>
          <w:tcPr>
            <w:tcW w:w="360" w:type="dxa"/>
            <w:shd w:val="clear" w:color="auto" w:fill="F2F2F2"/>
          </w:tcPr>
          <w:p w:rsidR="00A77B3E">
            <w:pPr>
              <w:pStyle w:val="mqeng"/>
              <w:jc w:val="left"/>
            </w:pPr>
            <w:r>
              <w:rPr>
                <w:noProof/>
              </w:rPr>
              <w:t>(g)</w:t>
            </w:r>
            <w:r>
              <w:rPr>
                <w:rStyle w:val="mqInternal"/>
                <w:b w:val="0"/>
                <w:i w:val="0"/>
                <w:noProof/>
                <w:u w:val="none"/>
                <w:vertAlign w:val="baseline"/>
              </w:rPr>
              <w:t>[1]</w:t>
            </w:r>
            <w:r>
              <w:rPr>
                <w:noProof/>
              </w:rPr>
              <w:t>deposits with credit institutions which are repayable on demand or have the right to be withdrawn, and maturing in no more than twelve months, provided that the credit institution has its registered office in a Member State or, if the registered office of the credit institution is situated in an Other State, provided that it is subject to prudential rules considered by the CSSF as equivalent to those laid down in Community law;</w:t>
            </w:r>
          </w:p>
        </w:tc>
        <w:tc>
          <w:tcPr>
            <w:tcW w:w="360" w:type="dxa"/>
            <w:shd w:val="clear" w:color="auto" w:fill="auto"/>
          </w:tcPr>
          <w:p w:rsidR="00A77B3E">
            <w:pPr>
              <w:pStyle w:val="mqspa"/>
              <w:jc w:val="left"/>
            </w:pPr>
            <w:r>
              <w:rPr>
                <w:noProof w:val="0"/>
              </w:rPr>
              <w:t>(g)</w:t>
            </w:r>
            <w:r>
              <w:rPr>
                <w:rStyle w:val="mqInternal"/>
                <w:b w:val="0"/>
                <w:i w:val="0"/>
                <w:noProof/>
                <w:u w:val="none"/>
                <w:vertAlign w:val="baseline"/>
              </w:rPr>
              <w:t>[1]</w:t>
            </w:r>
            <w:r>
              <w:rPr>
                <w:noProof w:val="0"/>
              </w:rPr>
              <w:t>depósitos con instituciones de crédito que sean reembolsables previa solicitud o que otorguen el derecho a ser retirados, y con un vencimiento no sea superior a doce meses, siempre que la entidad de crédito tenga su domicilio social en un Estado miembro o, si el domicilio social de la entidad de crédito se encuentra en Otro Estado, siempre que esté sujeta a normas prudenciales que la CSSF considere equivalentes a las establecidas en la legislación comunitaria;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278</w:t>
              <w:br/>
            </w:r>
            <w:r>
              <w:rPr>
                <w:noProof/>
                <w:sz w:val="2"/>
              </w:rPr>
              <w:t>af85a0f9-1bb1-4c10-920a-bd259e940ced</w:t>
            </w:r>
          </w:p>
        </w:tc>
        <w:tc>
          <w:tcPr>
            <w:tcW w:w="360" w:type="dxa"/>
            <w:shd w:val="clear" w:color="auto" w:fill="F2F2F2"/>
          </w:tcPr>
          <w:p w:rsidR="00A77B3E">
            <w:pPr>
              <w:pStyle w:val="mqeng"/>
              <w:jc w:val="left"/>
            </w:pPr>
            <w:r>
              <w:rPr>
                <w:noProof/>
              </w:rPr>
              <w:t>(h)</w:t>
            </w:r>
            <w:r>
              <w:rPr>
                <w:rStyle w:val="mqInternal"/>
                <w:b w:val="0"/>
                <w:i w:val="0"/>
                <w:noProof/>
                <w:u w:val="none"/>
                <w:vertAlign w:val="baseline"/>
              </w:rPr>
              <w:t>[1]</w:t>
            </w:r>
            <w:r>
              <w:rPr>
                <w:noProof/>
              </w:rPr>
              <w:t>financial derivative instruments, including equivalent cash-settled instruments, dealt in on a Regulated Market; and/or OTC derivatives, provided that:</w:t>
            </w:r>
          </w:p>
        </w:tc>
        <w:tc>
          <w:tcPr>
            <w:tcW w:w="360" w:type="dxa"/>
            <w:shd w:val="clear" w:color="auto" w:fill="auto"/>
          </w:tcPr>
          <w:p w:rsidR="00A77B3E">
            <w:pPr>
              <w:pStyle w:val="mqspa"/>
              <w:jc w:val="left"/>
            </w:pPr>
            <w:r>
              <w:rPr>
                <w:noProof w:val="0"/>
              </w:rPr>
              <w:t>(H)</w:t>
            </w:r>
            <w:r>
              <w:rPr>
                <w:rStyle w:val="mqInternal"/>
                <w:b w:val="0"/>
                <w:i w:val="0"/>
                <w:noProof/>
                <w:u w:val="none"/>
                <w:vertAlign w:val="baseline"/>
              </w:rPr>
              <w:t>[1]</w:t>
            </w:r>
            <w:r>
              <w:rPr>
                <w:noProof w:val="0"/>
              </w:rPr>
              <w:t>instrumentos derivados financieros, incluidos los instrumentos equivalentes a efectivo, negociados en un Mercado Regulado; y/o derivados extrabursátiles, siempre que: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279</w:t>
              <w:br/>
            </w:r>
            <w:r>
              <w:rPr>
                <w:noProof/>
                <w:sz w:val="2"/>
              </w:rPr>
              <w:t>9ff21f95-917d-4f09-80a9-f32f3a02d485</w:t>
            </w:r>
          </w:p>
        </w:tc>
        <w:tc>
          <w:tcPr>
            <w:tcW w:w="360" w:type="dxa"/>
            <w:shd w:val="clear" w:color="auto" w:fill="F2F2F2"/>
          </w:tcPr>
          <w:p w:rsidR="00A77B3E">
            <w:pPr>
              <w:pStyle w:val="mqeng"/>
              <w:jc w:val="left"/>
            </w:pPr>
            <w:r>
              <w:rPr>
                <w:noProof/>
              </w:rPr>
              <w:t>the underlying consists of instruments described in sub-paragraphs (a) to (g) above, financial indices, interest rates, foreign exchange rates or currencies, in which the Company may invest according to its investment objectives;</w:t>
            </w:r>
          </w:p>
        </w:tc>
        <w:tc>
          <w:tcPr>
            <w:tcW w:w="360" w:type="dxa"/>
            <w:shd w:val="clear" w:color="auto" w:fill="auto"/>
          </w:tcPr>
          <w:p w:rsidR="00A77B3E">
            <w:pPr>
              <w:pStyle w:val="mqspa"/>
              <w:jc w:val="left"/>
            </w:pPr>
            <w:r>
              <w:rPr>
                <w:noProof w:val="0"/>
              </w:rPr>
              <w:t>el subyacente consiste en instrumentos descritos en los subpárrafos (a) a (g) anteriores, índices financieros, tipos de interés, tipos de cambio o divisas, en los que la Sociedad puede invertir de acuerdo con sus objetivos de inversión;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280</w:t>
              <w:br/>
            </w:r>
            <w:r>
              <w:rPr>
                <w:noProof/>
                <w:sz w:val="2"/>
              </w:rPr>
              <w:t>e69a9cb5-859a-4367-9ad7-e616c1c42fb5</w:t>
            </w:r>
          </w:p>
        </w:tc>
        <w:tc>
          <w:tcPr>
            <w:tcW w:w="360" w:type="dxa"/>
            <w:shd w:val="clear" w:color="auto" w:fill="F2F2F2"/>
          </w:tcPr>
          <w:p w:rsidR="00A77B3E">
            <w:pPr>
              <w:pStyle w:val="mqeng"/>
              <w:jc w:val="left"/>
            </w:pPr>
            <w:r>
              <w:rPr>
                <w:noProof/>
              </w:rPr>
              <w:t>the counterparties to OTC derivative transactions are institutions subject to prudential supervision, and belonging to the categories approved by the CSSF and;</w:t>
            </w:r>
          </w:p>
        </w:tc>
        <w:tc>
          <w:tcPr>
            <w:tcW w:w="360" w:type="dxa"/>
            <w:shd w:val="clear" w:color="auto" w:fill="auto"/>
          </w:tcPr>
          <w:p w:rsidR="00A77B3E">
            <w:pPr>
              <w:pStyle w:val="mqspa"/>
              <w:jc w:val="left"/>
            </w:pPr>
            <w:r>
              <w:rPr>
                <w:noProof w:val="0"/>
              </w:rPr>
              <w:t>las contrapartes de las transacciones en instrumentos derivados extrabursátiles son instituciones sujetas a supervisión prudencial y pertenecen a las categorías aprobadas por la CSSF;</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281</w:t>
              <w:br/>
            </w:r>
            <w:r>
              <w:rPr>
                <w:noProof/>
                <w:sz w:val="2"/>
              </w:rPr>
              <w:t>31bed827-ab88-4e0b-9080-b06cc0ea37c7</w:t>
            </w:r>
          </w:p>
        </w:tc>
        <w:tc>
          <w:tcPr>
            <w:tcW w:w="360" w:type="dxa"/>
            <w:shd w:val="clear" w:color="auto" w:fill="F2F2F2"/>
          </w:tcPr>
          <w:p w:rsidR="00A77B3E">
            <w:pPr>
              <w:pStyle w:val="mqeng"/>
              <w:jc w:val="left"/>
            </w:pPr>
            <w:r>
              <w:rPr>
                <w:noProof/>
              </w:rPr>
              <w:t>the OTC derivatives are subject to reliable and verifiable valuation on a daily basis and can be sold, liquidated or closed by an offsetting transaction at any time, at their fair value, at the Company’s initiative;</w:t>
            </w:r>
          </w:p>
        </w:tc>
        <w:tc>
          <w:tcPr>
            <w:tcW w:w="360" w:type="dxa"/>
            <w:shd w:val="clear" w:color="auto" w:fill="auto"/>
          </w:tcPr>
          <w:p w:rsidR="00A77B3E">
            <w:pPr>
              <w:pStyle w:val="mqspa"/>
              <w:jc w:val="left"/>
            </w:pPr>
            <w:r>
              <w:rPr>
                <w:noProof w:val="0"/>
              </w:rPr>
              <w:t>los derivados extrabursátiles (OTC) están sujetos a una valoración fiable y verificable a diario y pueden venderse, liquidarse o cerrarse mediante una transacción de compensación en cualquier momento, a su valor justo, por iniciativa de la Sociedad;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282</w:t>
              <w:br/>
            </w:r>
            <w:r>
              <w:rPr>
                <w:noProof/>
                <w:sz w:val="2"/>
              </w:rPr>
              <w:t>04f49a43-be6b-419b-b25e-f32af0fe36d1</w:t>
            </w:r>
          </w:p>
        </w:tc>
        <w:tc>
          <w:tcPr>
            <w:tcW w:w="360" w:type="dxa"/>
            <w:shd w:val="clear" w:color="auto" w:fill="F2F2F2"/>
          </w:tcPr>
          <w:p w:rsidR="00A77B3E">
            <w:pPr>
              <w:pStyle w:val="mqeng"/>
              <w:jc w:val="left"/>
            </w:pPr>
            <w:r>
              <w:rPr>
                <w:rStyle w:val="mqInternal"/>
                <w:b w:val="0"/>
                <w:i w:val="0"/>
                <w:noProof/>
                <w:u w:val="none"/>
                <w:vertAlign w:val="baseline"/>
              </w:rPr>
              <w:t>[1}</w:t>
            </w:r>
            <w:r>
              <w:rPr>
                <w:noProof/>
              </w:rPr>
              <w:t>(i)</w:t>
            </w:r>
            <w:r>
              <w:rPr>
                <w:rStyle w:val="mqInternal"/>
                <w:b w:val="0"/>
                <w:i w:val="0"/>
                <w:noProof/>
                <w:u w:val="none"/>
                <w:vertAlign w:val="baseline"/>
              </w:rPr>
              <w:t>[2]</w:t>
            </w:r>
            <w:r>
              <w:rPr>
                <w:noProof/>
              </w:rPr>
              <w:t xml:space="preserve">Money Market Instruments other than those dealt in on a Regulated Market, which fall under Article 1 of the Law, if the issue or issuer of such instruments is itself regulated for the purpose of protecting Investors and </w:t>
            </w:r>
            <w:r>
              <w:rPr>
                <w:rStyle w:val="mqInternal"/>
                <w:b w:val="0"/>
                <w:i w:val="0"/>
                <w:noProof/>
                <w:u w:val="none"/>
                <w:vertAlign w:val="baseline"/>
              </w:rPr>
              <w:t>{3]</w:t>
            </w:r>
            <w:r>
              <w:rPr>
                <w:rStyle w:val="mqInternal"/>
                <w:b w:val="0"/>
                <w:i w:val="0"/>
                <w:noProof/>
                <w:u w:val="none"/>
                <w:vertAlign w:val="baseline"/>
              </w:rPr>
              <w:t>[4}</w:t>
            </w:r>
            <w:r>
              <w:rPr>
                <w:noProof/>
              </w:rPr>
              <w:t>savings, and provided that they are:</w:t>
            </w:r>
            <w:r>
              <w:rPr>
                <w:rStyle w:val="mqInternal"/>
                <w:b w:val="0"/>
                <w:i w:val="0"/>
                <w:noProof/>
                <w:u w:val="none"/>
                <w:vertAlign w:val="baseline"/>
              </w:rPr>
              <w:t>{5]</w:t>
            </w:r>
          </w:p>
        </w:tc>
        <w:tc>
          <w:tcPr>
            <w:tcW w:w="360" w:type="dxa"/>
            <w:shd w:val="clear" w:color="auto" w:fill="auto"/>
          </w:tcPr>
          <w:p w:rsidR="00A77B3E">
            <w:pPr>
              <w:pStyle w:val="mqspa"/>
              <w:jc w:val="left"/>
            </w:pPr>
            <w:r>
              <w:rPr>
                <w:rStyle w:val="mqInternal"/>
                <w:b w:val="0"/>
                <w:i w:val="0"/>
                <w:noProof/>
                <w:u w:val="none"/>
                <w:vertAlign w:val="baseline"/>
              </w:rPr>
              <w:t>[1}</w:t>
            </w:r>
            <w:r>
              <w:rPr>
                <w:noProof w:val="0"/>
              </w:rPr>
              <w:t>(I)</w:t>
            </w:r>
            <w:r>
              <w:rPr>
                <w:rStyle w:val="mqInternal"/>
                <w:b w:val="0"/>
                <w:i w:val="0"/>
                <w:noProof/>
                <w:u w:val="none"/>
                <w:vertAlign w:val="baseline"/>
              </w:rPr>
              <w:t>[2]</w:t>
            </w:r>
            <w:r>
              <w:rPr>
                <w:noProof w:val="0"/>
              </w:rPr>
              <w:t xml:space="preserve">Instrumentos del mercado monetario distintos de los negociados en un Mercado regulado, que se encuentran bajo el Artículo 1 de la Ley, si la emisión o el emisor de dichos instrumentos están regulados a su vez con el fin de proteger a los inversores y </w:t>
            </w:r>
            <w:r>
              <w:rPr>
                <w:rStyle w:val="mqInternal"/>
                <w:b w:val="0"/>
                <w:i w:val="0"/>
                <w:noProof/>
                <w:u w:val="none"/>
                <w:vertAlign w:val="baseline"/>
              </w:rPr>
              <w:t>{3]</w:t>
            </w:r>
            <w:r>
              <w:rPr>
                <w:noProof w:val="0"/>
              </w:rPr>
              <w:t>los</w:t>
            </w:r>
            <w:r>
              <w:rPr>
                <w:rStyle w:val="mqInternal"/>
                <w:b w:val="0"/>
                <w:i w:val="0"/>
                <w:noProof/>
                <w:u w:val="none"/>
                <w:vertAlign w:val="baseline"/>
              </w:rPr>
              <w:t>[4}</w:t>
            </w:r>
            <w:r>
              <w:rPr>
                <w:noProof w:val="0"/>
              </w:rPr>
              <w:t>ahorros, y siempre que sean:</w:t>
            </w:r>
            <w:r>
              <w:rPr>
                <w:rStyle w:val="mqInternal"/>
                <w:b w:val="0"/>
                <w:i w:val="0"/>
                <w:noProof/>
                <w:u w:val="none"/>
                <w:vertAlign w:val="baseline"/>
              </w:rPr>
              <w:t>{5]</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283</w:t>
              <w:br/>
            </w:r>
            <w:r>
              <w:rPr>
                <w:noProof/>
                <w:sz w:val="2"/>
              </w:rPr>
              <w:t>3e4ff2de-6f7d-498d-bd95-f17342fd31b9</w:t>
            </w:r>
          </w:p>
        </w:tc>
        <w:tc>
          <w:tcPr>
            <w:tcW w:w="360" w:type="dxa"/>
            <w:shd w:val="clear" w:color="auto" w:fill="F2F2F2"/>
          </w:tcPr>
          <w:p w:rsidR="00A77B3E">
            <w:pPr>
              <w:pStyle w:val="mqeng"/>
              <w:jc w:val="left"/>
            </w:pPr>
            <w:r>
              <w:rPr>
                <w:noProof/>
              </w:rPr>
              <w:t>issued or guaranteed by a central, regional or local authority or central bank of a Member State, the European Central Bank, the EU or the European Investment Bank, an Other State or, in the case of a Federal State, by one of the members making up the federation, or by a public international body to which one or more Member States belong or;</w:t>
            </w:r>
          </w:p>
        </w:tc>
        <w:tc>
          <w:tcPr>
            <w:tcW w:w="360" w:type="dxa"/>
            <w:shd w:val="clear" w:color="auto" w:fill="auto"/>
          </w:tcPr>
          <w:p w:rsidR="00A77B3E">
            <w:pPr>
              <w:pStyle w:val="mqspa"/>
              <w:jc w:val="left"/>
            </w:pPr>
            <w:r>
              <w:rPr>
                <w:noProof w:val="0"/>
              </w:rPr>
              <w:t>emitidos o garantizados por una autoridad central, regional o local o por un banco central de un Estado miembro, el Banco Central Europeo, la UE o el Banco Europeo de Inversiones, Otro Estado o, en el caso de un Estado federal, por uno de los miembros que componen la federación, o por un organismo internacional público al que pertenezcan uno o varios Estados miembros; 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284</w:t>
              <w:br/>
            </w:r>
            <w:r>
              <w:rPr>
                <w:noProof/>
                <w:sz w:val="2"/>
              </w:rPr>
              <w:t>0e7aad5f-ea40-487d-abf5-d50e754d65a0</w:t>
            </w:r>
          </w:p>
        </w:tc>
        <w:tc>
          <w:tcPr>
            <w:tcW w:w="360" w:type="dxa"/>
            <w:shd w:val="clear" w:color="auto" w:fill="F2F2F2"/>
          </w:tcPr>
          <w:p w:rsidR="00A77B3E">
            <w:pPr>
              <w:pStyle w:val="mqeng"/>
              <w:jc w:val="left"/>
            </w:pPr>
            <w:r>
              <w:rPr>
                <w:noProof/>
              </w:rPr>
              <w:t>issued by an undertaking any securities of which are dealt in on Regulated Markets referred to in subparagraphs (a),(b) or (c) above, or;</w:t>
            </w:r>
          </w:p>
        </w:tc>
        <w:tc>
          <w:tcPr>
            <w:tcW w:w="360" w:type="dxa"/>
            <w:shd w:val="clear" w:color="auto" w:fill="auto"/>
          </w:tcPr>
          <w:p w:rsidR="00A77B3E">
            <w:pPr>
              <w:pStyle w:val="mqspa"/>
              <w:jc w:val="left"/>
            </w:pPr>
            <w:r>
              <w:rPr>
                <w:noProof w:val="0"/>
              </w:rPr>
              <w:t>emitidos por un organismo cuyos valores se negocien en los mercados regulados indicados en los apartados (a), (b) o (c) anteriores; 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285</w:t>
              <w:br/>
            </w:r>
            <w:r>
              <w:rPr>
                <w:noProof/>
                <w:sz w:val="2"/>
              </w:rPr>
              <w:t>95459894-9108-4ecf-887d-cbd806a9d2c3</w:t>
            </w:r>
          </w:p>
        </w:tc>
        <w:tc>
          <w:tcPr>
            <w:tcW w:w="360" w:type="dxa"/>
            <w:shd w:val="clear" w:color="auto" w:fill="F2F2F2"/>
          </w:tcPr>
          <w:p w:rsidR="00A77B3E">
            <w:pPr>
              <w:pStyle w:val="mqeng"/>
              <w:jc w:val="left"/>
            </w:pPr>
            <w:r>
              <w:rPr>
                <w:noProof/>
              </w:rPr>
              <w:t>issued or guaranteed by an establishment subject to prudential supervision in accordance with criteria defined by Community law, or by an establishment which is subject to and complies with prudential rules considered by the CSSF to be at least as stringent as those laid down by Community law or;</w:t>
            </w:r>
          </w:p>
        </w:tc>
        <w:tc>
          <w:tcPr>
            <w:tcW w:w="360" w:type="dxa"/>
            <w:shd w:val="clear" w:color="auto" w:fill="auto"/>
          </w:tcPr>
          <w:p w:rsidR="00A77B3E">
            <w:pPr>
              <w:pStyle w:val="mqspa"/>
              <w:jc w:val="left"/>
            </w:pPr>
            <w:r>
              <w:rPr>
                <w:noProof w:val="0"/>
              </w:rPr>
              <w:t>emitidos o garantizados por una entidad sujeta a supervisión prudencial de acuerdo con los criterios definidos por la legislación comunitaria, o por una entidad que esté sujeta y cumpla con las normas prudenciales que la CSSF considere que son al menos tan estrictas como las establecidas por la legislación comunitaria; 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286</w:t>
              <w:br/>
            </w:r>
            <w:r>
              <w:rPr>
                <w:noProof/>
                <w:sz w:val="2"/>
              </w:rPr>
              <w:t>9e7450db-2d50-4e9c-82a1-774e8f99e88a</w:t>
            </w:r>
          </w:p>
        </w:tc>
        <w:tc>
          <w:tcPr>
            <w:tcW w:w="360" w:type="dxa"/>
            <w:shd w:val="clear" w:color="auto" w:fill="F2F2F2"/>
          </w:tcPr>
          <w:p w:rsidR="00A77B3E">
            <w:pPr>
              <w:pStyle w:val="mqeng"/>
              <w:jc w:val="left"/>
            </w:pPr>
            <w:r>
              <w:rPr>
                <w:noProof/>
              </w:rPr>
              <w:t>issued by other bodies belonging to the categories approved by the CSSF provided that investments in such instruments are subject to investor protection equivalent to that laid down in the first, the second or the third indent and provided that the issuer is a company whose capital and reserves amount to at least € 10 million and which presents and publishes its annual accounts in accordance with the fourth Directive 78/660/EEC, is an entity which, within a group of companies which includes one or several listed companies, is dedicated to the financing of the group or is an entity which is dedicated to the financing of securitisation vehicles which benefit from a banking liquidity line.</w:t>
            </w:r>
          </w:p>
        </w:tc>
        <w:tc>
          <w:tcPr>
            <w:tcW w:w="360" w:type="dxa"/>
            <w:shd w:val="clear" w:color="auto" w:fill="auto"/>
          </w:tcPr>
          <w:p w:rsidR="00A77B3E">
            <w:pPr>
              <w:pStyle w:val="mqspa"/>
              <w:jc w:val="left"/>
            </w:pPr>
            <w:r>
              <w:rPr>
                <w:noProof w:val="0"/>
              </w:rPr>
              <w:t>emitidos por otros organismos pertenecientes a las categorías aprobadas por la CSSF, siempre que las inversiones en tales instrumentos estén sujetas a una protección del inversor equivalente a la establecida en el primer, el segundo o el tercer inciso y siempre que el emisor sea una empresa cuyo capital y reservas asciendan a al menos 10 millones de euros y que presente y publique sus cuentas anuales de acuerdo con la cuarta Directiva 78/660/CEE, es una entidad que, dentro de un grupo de empresas que incluye una o varias empresas cotizadas, se dedica a la financiación del grupo o es una entidad que se dedica a la financiación de vehículos de titulización que se benefician de una línea de liquidez bancaria.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287</w:t>
              <w:br/>
            </w:r>
            <w:r>
              <w:rPr>
                <w:noProof/>
                <w:sz w:val="2"/>
              </w:rPr>
              <w:t>f681651a-a23b-426b-8398-b83ffc2d83e4</w:t>
            </w:r>
          </w:p>
        </w:tc>
        <w:tc>
          <w:tcPr>
            <w:tcW w:w="360" w:type="dxa"/>
            <w:shd w:val="clear" w:color="auto" w:fill="F2F2F2"/>
          </w:tcPr>
          <w:p w:rsidR="00A77B3E">
            <w:pPr>
              <w:pStyle w:val="mqeng"/>
              <w:jc w:val="left"/>
            </w:pPr>
            <w:r>
              <w:rPr>
                <w:noProof/>
              </w:rPr>
              <w:t>10.2</w:t>
            </w:r>
            <w:r>
              <w:rPr>
                <w:rStyle w:val="mqInternal"/>
                <w:b w:val="0"/>
                <w:i w:val="0"/>
                <w:noProof/>
                <w:u w:val="none"/>
                <w:vertAlign w:val="baseline"/>
              </w:rPr>
              <w:t>[1]</w:t>
            </w:r>
            <w:r>
              <w:rPr>
                <w:noProof/>
              </w:rPr>
              <w:t>Furthermore, each Fund may:</w:t>
            </w:r>
          </w:p>
        </w:tc>
        <w:tc>
          <w:tcPr>
            <w:tcW w:w="360" w:type="dxa"/>
            <w:shd w:val="clear" w:color="auto" w:fill="auto"/>
          </w:tcPr>
          <w:p w:rsidR="00A77B3E">
            <w:pPr>
              <w:pStyle w:val="mqspa"/>
              <w:jc w:val="left"/>
            </w:pPr>
            <w:r>
              <w:rPr>
                <w:noProof w:val="0"/>
              </w:rPr>
              <w:t>10.2</w:t>
            </w:r>
            <w:r>
              <w:rPr>
                <w:rStyle w:val="mqInternal"/>
                <w:b w:val="0"/>
                <w:i w:val="0"/>
                <w:noProof/>
                <w:u w:val="none"/>
                <w:vertAlign w:val="baseline"/>
              </w:rPr>
              <w:t>[1]</w:t>
            </w:r>
            <w:r>
              <w:rPr>
                <w:noProof w:val="0"/>
              </w:rPr>
              <w:t>Además, cada Fondo puede: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288</w:t>
              <w:br/>
            </w:r>
            <w:r>
              <w:rPr>
                <w:noProof/>
                <w:sz w:val="2"/>
              </w:rPr>
              <w:t>f9ce5671-e465-4933-a6c8-1222812469a2</w:t>
            </w:r>
          </w:p>
        </w:tc>
        <w:tc>
          <w:tcPr>
            <w:tcW w:w="360" w:type="dxa"/>
            <w:shd w:val="clear" w:color="auto" w:fill="F2F2F2"/>
          </w:tcPr>
          <w:p w:rsidR="00A77B3E">
            <w:pPr>
              <w:pStyle w:val="mqeng"/>
              <w:jc w:val="left"/>
            </w:pPr>
            <w:r>
              <w:rPr>
                <w:rStyle w:val="mqInternal"/>
                <w:b w:val="0"/>
                <w:i w:val="0"/>
                <w:noProof/>
                <w:u w:val="none"/>
                <w:vertAlign w:val="baseline"/>
              </w:rPr>
              <w:t>[1}</w:t>
            </w:r>
            <w:r>
              <w:rPr>
                <w:noProof/>
              </w:rPr>
              <w:t xml:space="preserve">Invest no more than 10% of its net assets in securities </w:t>
            </w:r>
            <w:r>
              <w:rPr>
                <w:rStyle w:val="mqInternal"/>
                <w:b w:val="0"/>
                <w:i w:val="0"/>
                <w:noProof/>
                <w:u w:val="none"/>
                <w:vertAlign w:val="baseline"/>
              </w:rPr>
              <w:t>{2]</w:t>
            </w:r>
            <w:r>
              <w:rPr>
                <w:rStyle w:val="mqInternal"/>
                <w:b w:val="0"/>
                <w:i w:val="0"/>
                <w:noProof/>
                <w:u w:val="none"/>
                <w:vertAlign w:val="baseline"/>
              </w:rPr>
              <w:t>[3}</w:t>
            </w:r>
            <w:r>
              <w:rPr>
                <w:noProof/>
              </w:rPr>
              <w:t>and Money Market Instruments other than those referred to in sub-paragraph 1 (a) to (i).</w:t>
            </w:r>
            <w:r>
              <w:rPr>
                <w:rStyle w:val="mqInternal"/>
                <w:b w:val="0"/>
                <w:i w:val="0"/>
                <w:noProof/>
                <w:u w:val="none"/>
                <w:vertAlign w:val="baseline"/>
              </w:rPr>
              <w:t>{4]</w:t>
            </w:r>
          </w:p>
        </w:tc>
        <w:tc>
          <w:tcPr>
            <w:tcW w:w="360" w:type="dxa"/>
            <w:shd w:val="clear" w:color="auto" w:fill="auto"/>
          </w:tcPr>
          <w:p w:rsidR="00A77B3E">
            <w:pPr>
              <w:pStyle w:val="mqspa"/>
              <w:jc w:val="left"/>
            </w:pPr>
            <w:r>
              <w:rPr>
                <w:rStyle w:val="mqInternal"/>
                <w:b w:val="0"/>
                <w:i w:val="0"/>
                <w:noProof/>
                <w:u w:val="none"/>
                <w:vertAlign w:val="baseline"/>
              </w:rPr>
              <w:t>[1}</w:t>
            </w:r>
            <w:r>
              <w:rPr>
                <w:noProof w:val="0"/>
              </w:rPr>
              <w:t xml:space="preserve">Invertir no más del 10% de su patrimonio neto en valores </w:t>
            </w:r>
            <w:r>
              <w:rPr>
                <w:rStyle w:val="mqInternal"/>
                <w:b w:val="0"/>
                <w:i w:val="0"/>
                <w:noProof/>
                <w:u w:val="none"/>
                <w:vertAlign w:val="baseline"/>
              </w:rPr>
              <w:t>{2]</w:t>
            </w:r>
            <w:r>
              <w:rPr>
                <w:rStyle w:val="mqInternal"/>
                <w:b w:val="0"/>
                <w:i w:val="0"/>
                <w:noProof/>
                <w:u w:val="none"/>
                <w:vertAlign w:val="baseline"/>
              </w:rPr>
              <w:t>[3}</w:t>
            </w:r>
            <w:r>
              <w:rPr>
                <w:noProof w:val="0"/>
              </w:rPr>
              <w:t>e Instrumentos del mercado monetario distintos de los mencionados en el subpárrafo 1 (a) a (i).</w:t>
            </w:r>
            <w:r>
              <w:rPr>
                <w:rStyle w:val="mqInternal"/>
                <w:b w:val="0"/>
                <w:i w:val="0"/>
                <w:noProof/>
                <w:u w:val="none"/>
                <w:vertAlign w:val="baseline"/>
              </w:rPr>
              <w:t>{4]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289</w:t>
              <w:br/>
            </w:r>
            <w:r>
              <w:rPr>
                <w:noProof/>
                <w:sz w:val="2"/>
              </w:rPr>
              <w:t>0286fa3b-4f1b-468b-8eef-d257ab140938</w:t>
            </w:r>
          </w:p>
        </w:tc>
        <w:tc>
          <w:tcPr>
            <w:tcW w:w="360" w:type="dxa"/>
            <w:shd w:val="clear" w:color="auto" w:fill="F2F2F2"/>
          </w:tcPr>
          <w:p w:rsidR="00A77B3E">
            <w:pPr>
              <w:pStyle w:val="mqeng"/>
              <w:jc w:val="left"/>
            </w:pPr>
            <w:r>
              <w:rPr>
                <w:noProof/>
              </w:rPr>
              <w:t>10.3</w:t>
            </w:r>
            <w:r>
              <w:rPr>
                <w:rStyle w:val="mqInternal"/>
                <w:b w:val="0"/>
                <w:i w:val="0"/>
                <w:noProof/>
                <w:u w:val="none"/>
                <w:vertAlign w:val="baseline"/>
              </w:rPr>
              <w:t>[1]</w:t>
            </w:r>
            <w:r>
              <w:rPr>
                <w:noProof/>
              </w:rPr>
              <w:t>With the exception of the Global Multi-Asset Fund, each Fund may acquire the units of UCITS and/or other UCIs referred to in paragraph 1 (f), provided that in aggregate no more than 10% of the Fund’s net assets are invested in units of UCITS or other UCIs.</w:t>
            </w:r>
          </w:p>
        </w:tc>
        <w:tc>
          <w:tcPr>
            <w:tcW w:w="360" w:type="dxa"/>
            <w:shd w:val="clear" w:color="auto" w:fill="auto"/>
          </w:tcPr>
          <w:p w:rsidR="00A77B3E">
            <w:pPr>
              <w:pStyle w:val="mqspa"/>
              <w:jc w:val="left"/>
            </w:pPr>
            <w:r>
              <w:rPr>
                <w:noProof w:val="0"/>
              </w:rPr>
              <w:t>10.3</w:t>
            </w:r>
            <w:r>
              <w:rPr>
                <w:rStyle w:val="mqInternal"/>
                <w:b w:val="0"/>
                <w:i w:val="0"/>
                <w:noProof/>
                <w:u w:val="none"/>
                <w:vertAlign w:val="baseline"/>
              </w:rPr>
              <w:t>[1]</w:t>
            </w:r>
            <w:r>
              <w:rPr>
                <w:noProof w:val="0"/>
              </w:rPr>
              <w:t>Con la excepción del Global Multi-Asset Fund, cada Fondo podrá adquirir las participaciones de OICVM y/o otros OIC dispuestos en el apartado 1 (f), siempre que en conjunto no haya más de un 10% de los activos netos del Fondo invertidos en participaciones de OICVM u otros OIC.</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290</w:t>
              <w:br/>
            </w:r>
            <w:r>
              <w:rPr>
                <w:noProof/>
                <w:sz w:val="2"/>
              </w:rPr>
              <w:t>ce655056-23e2-4394-b169-105f3857bbcc</w:t>
            </w:r>
          </w:p>
        </w:tc>
        <w:tc>
          <w:tcPr>
            <w:tcW w:w="360" w:type="dxa"/>
            <w:shd w:val="clear" w:color="auto" w:fill="F2F2F2"/>
          </w:tcPr>
          <w:p w:rsidR="00A77B3E">
            <w:pPr>
              <w:pStyle w:val="mqeng"/>
              <w:jc w:val="left"/>
            </w:pPr>
            <w:r>
              <w:rPr>
                <w:noProof/>
              </w:rPr>
              <w:t>A Fund can, under the conditions provided for in Article 181 paragraph 8 of the Law, as may be amended, invest in the shares issued by one or several other Funds of the Company.</w:t>
            </w:r>
          </w:p>
        </w:tc>
        <w:tc>
          <w:tcPr>
            <w:tcW w:w="360" w:type="dxa"/>
            <w:shd w:val="clear" w:color="auto" w:fill="auto"/>
          </w:tcPr>
          <w:p w:rsidR="00A77B3E">
            <w:pPr>
              <w:pStyle w:val="mqspa"/>
              <w:jc w:val="left"/>
            </w:pPr>
            <w:r>
              <w:rPr>
                <w:noProof w:val="0"/>
              </w:rPr>
              <w:t>Un Fondo puede, bajo las condiciones previstas en el artículo 181, párrafo 8 de la Ley, según pueda ser enmendada, invertir en las acciones emitidas por uno o varios Fondos de la Sociedad.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291</w:t>
              <w:br/>
            </w:r>
            <w:r>
              <w:rPr>
                <w:noProof/>
                <w:sz w:val="2"/>
              </w:rPr>
              <w:t>f56574b7-58e3-4104-b26c-d8daf619600b</w:t>
            </w:r>
          </w:p>
        </w:tc>
        <w:tc>
          <w:tcPr>
            <w:tcW w:w="360" w:type="dxa"/>
            <w:shd w:val="clear" w:color="auto" w:fill="F2F2F2"/>
          </w:tcPr>
          <w:p w:rsidR="00A77B3E">
            <w:pPr>
              <w:pStyle w:val="mqeng"/>
              <w:jc w:val="left"/>
            </w:pPr>
            <w:r>
              <w:rPr>
                <w:noProof/>
              </w:rPr>
              <w:t xml:space="preserve">Notwithstanding the 10% limit above, the Company can decide, under the conditions provided for in Chapter 9 of the Law, as may be amended, that a Fund (“Feeder”) may invest at least 85% of its assets in units or shares of another UCITS (“Master”) authorised according to the </w:t>
            </w:r>
            <w:r>
              <w:rPr>
                <w:rStyle w:val="mqInternal"/>
                <w:b w:val="0"/>
                <w:i w:val="0"/>
                <w:noProof/>
                <w:u w:val="none"/>
                <w:vertAlign w:val="baseline"/>
              </w:rPr>
              <w:t>[1}</w:t>
            </w:r>
            <w:r>
              <w:rPr>
                <w:noProof/>
              </w:rPr>
              <w:t xml:space="preserve">UCITS Directive </w:t>
            </w:r>
            <w:r>
              <w:rPr>
                <w:rStyle w:val="mqInternal"/>
                <w:b w:val="0"/>
                <w:i w:val="0"/>
                <w:noProof/>
                <w:u w:val="none"/>
                <w:vertAlign w:val="baseline"/>
              </w:rPr>
              <w:t>{2]</w:t>
            </w:r>
            <w:r>
              <w:rPr>
                <w:noProof/>
              </w:rPr>
              <w:t>(or a Portfolio of such UCITS).</w:t>
            </w:r>
          </w:p>
        </w:tc>
        <w:tc>
          <w:tcPr>
            <w:tcW w:w="360" w:type="dxa"/>
            <w:shd w:val="clear" w:color="auto" w:fill="auto"/>
          </w:tcPr>
          <w:p w:rsidR="00A77B3E">
            <w:pPr>
              <w:pStyle w:val="mqspa"/>
              <w:jc w:val="left"/>
            </w:pPr>
            <w:r>
              <w:rPr>
                <w:noProof w:val="0"/>
              </w:rPr>
              <w:t xml:space="preserve">No obstante el límite del 10% mencionado anteriormente, la Compañía puede decidir, bajo las condiciones previstas en el Capítulo 9 de la Ley, según pueda ser enmendada, que un Fondo (“Feeder”) puede invertir al menos el 85% de sus activos en unidades o acciones de otro UCITS (“Master”) autorizado de acuerdo con la </w:t>
            </w:r>
            <w:r>
              <w:rPr>
                <w:rStyle w:val="mqInternal"/>
                <w:b w:val="0"/>
                <w:i w:val="0"/>
                <w:noProof/>
                <w:u w:val="none"/>
                <w:vertAlign w:val="baseline"/>
              </w:rPr>
              <w:t>[1}</w:t>
            </w:r>
            <w:r>
              <w:rPr>
                <w:noProof w:val="0"/>
              </w:rPr>
              <w:t xml:space="preserve">Directiva UCITS </w:t>
            </w:r>
            <w:r>
              <w:rPr>
                <w:rStyle w:val="mqInternal"/>
                <w:b w:val="0"/>
                <w:i w:val="0"/>
                <w:noProof/>
                <w:u w:val="none"/>
                <w:vertAlign w:val="baseline"/>
              </w:rPr>
              <w:t>{2]</w:t>
            </w:r>
            <w:r>
              <w:rPr>
                <w:noProof w:val="0"/>
              </w:rPr>
              <w:t>(o un Portafolio de dichos UCITS).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292</w:t>
              <w:br/>
            </w:r>
            <w:r>
              <w:rPr>
                <w:noProof/>
                <w:sz w:val="2"/>
              </w:rPr>
              <w:t>9cc416e1-454b-4dcb-9641-3011fc1b3a75</w:t>
            </w:r>
          </w:p>
        </w:tc>
        <w:tc>
          <w:tcPr>
            <w:tcW w:w="360" w:type="dxa"/>
            <w:shd w:val="clear" w:color="auto" w:fill="F2F2F2"/>
          </w:tcPr>
          <w:p w:rsidR="00A77B3E">
            <w:pPr>
              <w:pStyle w:val="mqeng"/>
              <w:jc w:val="left"/>
            </w:pPr>
            <w:r>
              <w:rPr>
                <w:noProof/>
              </w:rPr>
              <w:t>When a Fund invests in the units of other UCITS and/or other UCIs that are managed, directly or by delegation, by the same Investment Manager or by the same management company or by any other company with which the Investment Manager or by the management company is linked by common management or control, or by a substantial direct or indirect holding (i.e. more than 10% of the capital or voting rights), that no subscription, redemption and/or management fees may be charged to the Company on its investment in the units of such other UCITS and/or UCIs.</w:t>
            </w:r>
          </w:p>
        </w:tc>
        <w:tc>
          <w:tcPr>
            <w:tcW w:w="360" w:type="dxa"/>
            <w:shd w:val="clear" w:color="auto" w:fill="auto"/>
          </w:tcPr>
          <w:p w:rsidR="00A77B3E">
            <w:pPr>
              <w:pStyle w:val="mqspa"/>
              <w:jc w:val="left"/>
            </w:pPr>
            <w:r>
              <w:rPr>
                <w:noProof w:val="0"/>
              </w:rPr>
              <w:t>Cuando un Fondo invierte en las participaciones de otros OICVM y/u otros OIC que están gestionados, directamente o por delegación, por el mismo Gestor de inversiones o por la misma sociedad gestora, o por cualquier otra sociedad con la que el Gestor de inversiones o la sociedad gestora esté vinculada por gestión o control común, o por una participación sustancial directa o indirecta (es decir, más del 10% del capital o derechos de voto), no se podrán cobrar comisiones de suscripción, reembolso y/o de gestión a la Compañía por su inversión en las participaciones de esos otros OICVM y/u OIC.</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293</w:t>
              <w:br/>
            </w:r>
            <w:r>
              <w:rPr>
                <w:noProof/>
                <w:sz w:val="2"/>
              </w:rPr>
              <w:t>94f267df-7506-46a8-95a6-4da6608643e2</w:t>
            </w:r>
          </w:p>
        </w:tc>
        <w:tc>
          <w:tcPr>
            <w:tcW w:w="360" w:type="dxa"/>
            <w:shd w:val="clear" w:color="auto" w:fill="F2F2F2"/>
          </w:tcPr>
          <w:p w:rsidR="00A77B3E">
            <w:pPr>
              <w:pStyle w:val="mqeng"/>
              <w:jc w:val="left"/>
            </w:pPr>
            <w:r>
              <w:rPr>
                <w:noProof/>
              </w:rPr>
              <w:t>In respect of a Fund's investments in UCITS and other UCIs linked to the Investment Manager or its affiliates, there shall be no management fee charged to that portion of the assets of the relevant Fund.</w:t>
            </w:r>
          </w:p>
        </w:tc>
        <w:tc>
          <w:tcPr>
            <w:tcW w:w="360" w:type="dxa"/>
            <w:shd w:val="clear" w:color="auto" w:fill="auto"/>
          </w:tcPr>
          <w:p w:rsidR="00A77B3E">
            <w:pPr>
              <w:pStyle w:val="mqspa"/>
              <w:jc w:val="left"/>
            </w:pPr>
            <w:r>
              <w:rPr>
                <w:noProof w:val="0"/>
              </w:rPr>
              <w:t>En relación con las inversiones de un Fondo en OICVM y otros OIC vinculados al Gestor de inversiones o sus afiliados, no se cobrará comisión de gestión a esa parte de los activos del Fondo correspondiente.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294</w:t>
              <w:br/>
            </w:r>
            <w:r>
              <w:rPr>
                <w:noProof/>
                <w:sz w:val="2"/>
              </w:rPr>
              <w:t>b6e887c4-634e-438a-914d-978095bb8c29</w:t>
            </w:r>
          </w:p>
        </w:tc>
        <w:tc>
          <w:tcPr>
            <w:tcW w:w="360" w:type="dxa"/>
            <w:shd w:val="clear" w:color="auto" w:fill="F2F2F2"/>
          </w:tcPr>
          <w:p w:rsidR="00A77B3E">
            <w:pPr>
              <w:pStyle w:val="mqeng"/>
              <w:jc w:val="left"/>
            </w:pPr>
            <w:r>
              <w:rPr>
                <w:noProof/>
              </w:rPr>
              <w:t>The Company will indicate in its annual report the total management fees charged both to the relevant Fund and to the UCITS and other UCIs in which such Fund has invested during the relevant period.</w:t>
            </w:r>
          </w:p>
        </w:tc>
        <w:tc>
          <w:tcPr>
            <w:tcW w:w="360" w:type="dxa"/>
            <w:shd w:val="clear" w:color="auto" w:fill="auto"/>
          </w:tcPr>
          <w:p w:rsidR="00A77B3E">
            <w:pPr>
              <w:pStyle w:val="mqspa"/>
              <w:jc w:val="left"/>
            </w:pPr>
            <w:r>
              <w:rPr>
                <w:noProof w:val="0"/>
              </w:rPr>
              <w:t>La Compañía hará constar en su informe anual las comisiones de gestión totales cobradas tanto al Fondo correspondiente como a los OICVM y otros OIC en los que dicho Fondo haya invertido durante el periodo correspondiente.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295</w:t>
              <w:br/>
            </w:r>
            <w:r>
              <w:rPr>
                <w:noProof/>
                <w:sz w:val="2"/>
              </w:rPr>
              <w:t>274cb9a6-eb29-4404-ae63-b45fe81d8633</w:t>
            </w:r>
          </w:p>
        </w:tc>
        <w:tc>
          <w:tcPr>
            <w:tcW w:w="360" w:type="dxa"/>
            <w:shd w:val="clear" w:color="auto" w:fill="F2F2F2"/>
          </w:tcPr>
          <w:p w:rsidR="00A77B3E">
            <w:pPr>
              <w:pStyle w:val="mqeng"/>
              <w:jc w:val="left"/>
            </w:pPr>
            <w:r>
              <w:rPr>
                <w:noProof/>
              </w:rPr>
              <w:t>10.4</w:t>
            </w:r>
            <w:r>
              <w:rPr>
                <w:rStyle w:val="mqInternal"/>
                <w:b w:val="0"/>
                <w:i w:val="0"/>
                <w:noProof/>
                <w:u w:val="none"/>
                <w:vertAlign w:val="baseline"/>
              </w:rPr>
              <w:t>[1]</w:t>
            </w:r>
            <w:r>
              <w:rPr>
                <w:noProof/>
              </w:rPr>
              <w:t>A Fund may hold</w:t>
            </w:r>
            <w:r>
              <w:rPr>
                <w:rStyle w:val="mqInternal"/>
                <w:b w:val="0"/>
                <w:i w:val="0"/>
                <w:noProof/>
                <w:u w:val="none"/>
                <w:vertAlign w:val="baseline"/>
              </w:rPr>
              <w:t>[2}</w:t>
            </w:r>
            <w:r>
              <w:rPr>
                <w:noProof/>
              </w:rPr>
              <w:t xml:space="preserve"> up to 20% in its net assets in ancillary liquid assets such as bank deposits at site, i.e. cash held in current accounts with a bank accessible at any time, in order to cover current or exceptional payments, or for the time necessary to reinvest in eligible assets provided under article 41(1) of the Law of 2010, or for a period of time strictly necessary in case of unfavourable market conditions.</w:t>
            </w:r>
          </w:p>
        </w:tc>
        <w:tc>
          <w:tcPr>
            <w:tcW w:w="360" w:type="dxa"/>
            <w:shd w:val="clear" w:color="auto" w:fill="auto"/>
          </w:tcPr>
          <w:p w:rsidR="00A77B3E">
            <w:pPr>
              <w:pStyle w:val="mqspa"/>
              <w:jc w:val="left"/>
            </w:pPr>
            <w:r>
              <w:rPr>
                <w:noProof w:val="0"/>
              </w:rPr>
              <w:t>10.4</w:t>
            </w:r>
            <w:r>
              <w:rPr>
                <w:rStyle w:val="mqInternal"/>
                <w:b w:val="0"/>
                <w:i w:val="0"/>
                <w:noProof/>
                <w:u w:val="none"/>
                <w:vertAlign w:val="baseline"/>
              </w:rPr>
              <w:t>[1]</w:t>
            </w:r>
            <w:r>
              <w:rPr>
                <w:noProof w:val="0"/>
              </w:rPr>
              <w:t>Un Fondo podrá mantener</w:t>
            </w:r>
            <w:r>
              <w:rPr>
                <w:rStyle w:val="mqInternal"/>
                <w:b w:val="0"/>
                <w:i w:val="0"/>
                <w:noProof/>
                <w:u w:val="none"/>
                <w:vertAlign w:val="baseline"/>
              </w:rPr>
              <w:t>[2}</w:t>
            </w:r>
            <w:r>
              <w:rPr>
                <w:noProof w:val="0"/>
              </w:rPr>
              <w:t xml:space="preserve"> hasta el 20% de su patrimonio neto en activos líquidos accesorios, como depósitos bancarios a la vista, es decir, efectivo mantenido en cuentas corrientes con un banco accesible en todo momento, para atender pagos corrientes o excepcionales, o durante el tiempo necesario para reinvertir en activos admisibles previstos en el artículo 41(1) de la Ley de 2010, o durante un periodo de tiempo estrictamente necesario en caso de condiciones desfavorables del mercado.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296</w:t>
              <w:br/>
            </w:r>
            <w:r>
              <w:rPr>
                <w:noProof/>
                <w:sz w:val="2"/>
              </w:rPr>
              <w:t>395c2643-1241-4f1d-b088-ae134590a8fa</w:t>
            </w:r>
          </w:p>
        </w:tc>
        <w:tc>
          <w:tcPr>
            <w:tcW w:w="360" w:type="dxa"/>
            <w:shd w:val="clear" w:color="auto" w:fill="F2F2F2"/>
          </w:tcPr>
          <w:p w:rsidR="00A77B3E">
            <w:pPr>
              <w:pStyle w:val="mqeng"/>
              <w:jc w:val="left"/>
            </w:pPr>
            <w:r>
              <w:rPr>
                <w:noProof/>
              </w:rPr>
              <w:t>This restriction may only be exceeded temporarily for a period of time strictly necessary if the Directors consider this to be in the best interest of the Shareholders (e.g. during exceptionally unfavourable market conditions such as a severe financial market collapse)</w:t>
            </w:r>
            <w:r>
              <w:rPr>
                <w:rStyle w:val="mqInternal"/>
                <w:b w:val="0"/>
                <w:i w:val="0"/>
                <w:noProof/>
                <w:u w:val="none"/>
                <w:vertAlign w:val="baseline"/>
              </w:rPr>
              <w:t>{1]</w:t>
            </w:r>
            <w:r>
              <w:rPr>
                <w:noProof/>
              </w:rPr>
              <w:t>.</w:t>
            </w:r>
          </w:p>
        </w:tc>
        <w:tc>
          <w:tcPr>
            <w:tcW w:w="360" w:type="dxa"/>
            <w:shd w:val="clear" w:color="auto" w:fill="auto"/>
          </w:tcPr>
          <w:p w:rsidR="00A77B3E">
            <w:pPr>
              <w:pStyle w:val="mqspa"/>
              <w:jc w:val="left"/>
            </w:pPr>
            <w:r>
              <w:rPr>
                <w:noProof w:val="0"/>
              </w:rPr>
              <w:t>Esta restricción solo puede ser superada temporalmente por un periodo de tiempo estrictamente necesario si los Consejeros consideran que esto es en el mejor interés de los Accionistas (por ejemplo, durante condiciones de mercado excepcionalmente desfavorables, como un severo colapso</w:t>
            </w:r>
            <w:r>
              <w:rPr>
                <w:rStyle w:val="mqInternal"/>
                <w:b w:val="0"/>
                <w:i w:val="0"/>
                <w:noProof/>
                <w:u w:val="none"/>
                <w:vertAlign w:val="baseline"/>
              </w:rPr>
              <w:t>{1]</w:t>
            </w:r>
            <w:r>
              <w:rPr>
                <w:noProof w:val="0"/>
              </w:rPr>
              <w:t xml:space="preserve"> del mercado financiero).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297</w:t>
              <w:br/>
            </w:r>
            <w:r>
              <w:rPr>
                <w:noProof/>
                <w:sz w:val="2"/>
              </w:rPr>
              <w:t>0d6b93d8-f779-4def-9fac-867bbb0dc8d9</w:t>
            </w:r>
          </w:p>
        </w:tc>
        <w:tc>
          <w:tcPr>
            <w:tcW w:w="360" w:type="dxa"/>
            <w:shd w:val="clear" w:color="auto" w:fill="F2F2F2"/>
          </w:tcPr>
          <w:p w:rsidR="00A77B3E">
            <w:pPr>
              <w:pStyle w:val="mqeng"/>
              <w:jc w:val="left"/>
            </w:pPr>
            <w:r>
              <w:rPr>
                <w:rStyle w:val="mqInternal"/>
                <w:b w:val="0"/>
                <w:i w:val="0"/>
                <w:noProof/>
                <w:u w:val="none"/>
                <w:vertAlign w:val="baseline"/>
              </w:rPr>
              <w:t>[1}</w:t>
            </w:r>
          </w:p>
        </w:tc>
        <w:tc>
          <w:tcPr>
            <w:tcW w:w="360" w:type="dxa"/>
            <w:shd w:val="clear" w:color="auto" w:fill="auto"/>
          </w:tcPr>
          <w:p w:rsidR="00A77B3E">
            <w:pPr>
              <w:pStyle w:val="mqspa"/>
              <w:jc w:val="left"/>
            </w:pPr>
            <w:r>
              <w:rPr>
                <w:rStyle w:val="mqInternal"/>
                <w:b w:val="0"/>
                <w:i w:val="0"/>
                <w:noProof/>
                <w:u w:val="none"/>
                <w:vertAlign w:val="baseline"/>
              </w:rPr>
              <w:t>[1}</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298</w:t>
              <w:br/>
            </w:r>
            <w:r>
              <w:rPr>
                <w:noProof/>
                <w:sz w:val="2"/>
              </w:rPr>
              <w:t>ff34455a-4a6f-423d-ad7a-962fa12cb0a8</w:t>
            </w:r>
          </w:p>
        </w:tc>
        <w:tc>
          <w:tcPr>
            <w:tcW w:w="360" w:type="dxa"/>
            <w:shd w:val="clear" w:color="auto" w:fill="F2F2F2"/>
          </w:tcPr>
          <w:p w:rsidR="00A77B3E">
            <w:pPr>
              <w:pStyle w:val="mqeng"/>
              <w:jc w:val="left"/>
            </w:pPr>
            <w:r>
              <w:rPr>
                <w:noProof/>
              </w:rPr>
              <w:t>11.6</w:t>
            </w:r>
            <w:r>
              <w:rPr>
                <w:rStyle w:val="mqInternal"/>
                <w:b w:val="0"/>
                <w:i w:val="0"/>
                <w:noProof/>
                <w:u w:val="none"/>
                <w:vertAlign w:val="baseline"/>
              </w:rPr>
              <w:t>[1]</w:t>
            </w:r>
            <w:r>
              <w:rPr>
                <w:noProof/>
              </w:rPr>
              <w:t>Collateral</w:t>
            </w:r>
            <w:r>
              <w:rPr>
                <w:rStyle w:val="mqInternal"/>
                <w:b w:val="0"/>
                <w:i w:val="0"/>
                <w:noProof/>
                <w:u w:val="none"/>
                <w:vertAlign w:val="baseline"/>
              </w:rPr>
              <w:t>{2]</w:t>
            </w:r>
            <w:r>
              <w:rPr>
                <w:noProof/>
              </w:rPr>
              <w:t xml:space="preserve"> Management Policy for Securities Lending and OTC derivatives (including Total Return Swaps)</w:t>
            </w:r>
          </w:p>
        </w:tc>
        <w:tc>
          <w:tcPr>
            <w:tcW w:w="360" w:type="dxa"/>
            <w:shd w:val="clear" w:color="auto" w:fill="auto"/>
          </w:tcPr>
          <w:p w:rsidR="00A77B3E">
            <w:pPr>
              <w:pStyle w:val="mqspa"/>
              <w:jc w:val="left"/>
            </w:pPr>
            <w:r>
              <w:rPr>
                <w:noProof w:val="0"/>
              </w:rPr>
              <w:t>11.6</w:t>
            </w:r>
            <w:r>
              <w:rPr>
                <w:rStyle w:val="mqInternal"/>
                <w:b w:val="0"/>
                <w:i w:val="0"/>
                <w:noProof/>
                <w:u w:val="none"/>
                <w:vertAlign w:val="baseline"/>
              </w:rPr>
              <w:t>[1]</w:t>
            </w:r>
            <w:r>
              <w:rPr>
                <w:noProof w:val="0"/>
              </w:rPr>
              <w:t>Política de</w:t>
            </w:r>
            <w:r>
              <w:rPr>
                <w:rStyle w:val="mqInternal"/>
                <w:b w:val="0"/>
                <w:i w:val="0"/>
                <w:noProof/>
                <w:u w:val="none"/>
                <w:vertAlign w:val="baseline"/>
              </w:rPr>
              <w:t>{2]</w:t>
            </w:r>
            <w:r>
              <w:rPr>
                <w:noProof w:val="0"/>
              </w:rPr>
              <w:t xml:space="preserve"> gestión de valores para préstamos de valores y derivados extrabursátiles (incluidos swaps de rentabilidad total)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299</w:t>
              <w:br/>
            </w:r>
            <w:r>
              <w:rPr>
                <w:noProof/>
                <w:sz w:val="2"/>
              </w:rPr>
              <w:t>d36af71f-87f4-4242-a980-c82f1f5119bb</w:t>
            </w:r>
          </w:p>
        </w:tc>
        <w:tc>
          <w:tcPr>
            <w:tcW w:w="360" w:type="dxa"/>
            <w:shd w:val="clear" w:color="auto" w:fill="F2F2F2"/>
          </w:tcPr>
          <w:p w:rsidR="00A77B3E">
            <w:pPr>
              <w:pStyle w:val="mqeng"/>
              <w:jc w:val="left"/>
            </w:pPr>
            <w:r>
              <w:rPr>
                <w:b/>
                <w:i w:val="0"/>
                <w:noProof/>
                <w:u w:val="single"/>
                <w:vertAlign w:val="baseline"/>
              </w:rPr>
              <w:t>General</w:t>
            </w:r>
          </w:p>
        </w:tc>
        <w:tc>
          <w:tcPr>
            <w:tcW w:w="360" w:type="dxa"/>
            <w:shd w:val="clear" w:color="auto" w:fill="auto"/>
          </w:tcPr>
          <w:p w:rsidR="00A77B3E">
            <w:pPr>
              <w:pStyle w:val="mqspa"/>
              <w:jc w:val="left"/>
            </w:pPr>
            <w:r>
              <w:rPr>
                <w:b/>
                <w:i w:val="0"/>
                <w:noProof w:val="0"/>
                <w:u w:val="single"/>
                <w:vertAlign w:val="baseline"/>
              </w:rPr>
              <w:t>General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300</w:t>
              <w:br/>
            </w:r>
            <w:r>
              <w:rPr>
                <w:noProof/>
                <w:sz w:val="2"/>
              </w:rPr>
              <w:t>54f506f9-9b0d-4c2f-a661-4c24974594bb</w:t>
            </w:r>
          </w:p>
        </w:tc>
        <w:tc>
          <w:tcPr>
            <w:tcW w:w="360" w:type="dxa"/>
            <w:shd w:val="clear" w:color="auto" w:fill="F2F2F2"/>
          </w:tcPr>
          <w:p w:rsidR="00A77B3E">
            <w:pPr>
              <w:pStyle w:val="mqeng"/>
              <w:jc w:val="left"/>
            </w:pPr>
            <w:r>
              <w:rPr>
                <w:b/>
                <w:i w:val="0"/>
                <w:noProof/>
                <w:u w:val="none"/>
                <w:vertAlign w:val="baseline"/>
              </w:rPr>
              <w:t>Diversification</w:t>
            </w:r>
          </w:p>
        </w:tc>
        <w:tc>
          <w:tcPr>
            <w:tcW w:w="360" w:type="dxa"/>
            <w:shd w:val="clear" w:color="auto" w:fill="auto"/>
          </w:tcPr>
          <w:p w:rsidR="00A77B3E">
            <w:pPr>
              <w:pStyle w:val="mqspa"/>
              <w:jc w:val="left"/>
            </w:pPr>
            <w:r>
              <w:rPr>
                <w:b/>
                <w:i w:val="0"/>
                <w:noProof w:val="0"/>
                <w:u w:val="none"/>
                <w:vertAlign w:val="baseline"/>
              </w:rPr>
              <w:t>Diversificación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301</w:t>
              <w:br/>
            </w:r>
            <w:r>
              <w:rPr>
                <w:noProof/>
                <w:sz w:val="2"/>
              </w:rPr>
              <w:t>7ec89dc7-4f16-41b6-ae20-3568957ef1f9</w:t>
            </w:r>
          </w:p>
        </w:tc>
        <w:tc>
          <w:tcPr>
            <w:tcW w:w="360" w:type="dxa"/>
            <w:shd w:val="clear" w:color="auto" w:fill="F2F2F2"/>
          </w:tcPr>
          <w:p w:rsidR="00A77B3E">
            <w:pPr>
              <w:pStyle w:val="mqeng"/>
              <w:jc w:val="left"/>
            </w:pPr>
            <w:r>
              <w:rPr>
                <w:noProof/>
              </w:rPr>
              <w:t>Collateral should be sufficiently diversified in terms of country, markets and issuers.</w:t>
            </w:r>
          </w:p>
        </w:tc>
        <w:tc>
          <w:tcPr>
            <w:tcW w:w="360" w:type="dxa"/>
            <w:shd w:val="clear" w:color="auto" w:fill="auto"/>
          </w:tcPr>
          <w:p w:rsidR="00A77B3E">
            <w:pPr>
              <w:pStyle w:val="mqspa"/>
              <w:jc w:val="left"/>
            </w:pPr>
            <w:r>
              <w:rPr>
                <w:noProof w:val="0"/>
              </w:rPr>
              <w:t>Las garantías deben estar suficientemente diversificadas en términos de país, mercados y emisores.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302</w:t>
              <w:br/>
            </w:r>
            <w:r>
              <w:rPr>
                <w:noProof/>
                <w:sz w:val="2"/>
              </w:rPr>
              <w:t>5dc1826e-8c9a-4dbe-9124-07d82b984f80</w:t>
            </w:r>
          </w:p>
        </w:tc>
        <w:tc>
          <w:tcPr>
            <w:tcW w:w="360" w:type="dxa"/>
            <w:shd w:val="clear" w:color="auto" w:fill="F2F2F2"/>
          </w:tcPr>
          <w:p w:rsidR="00A77B3E">
            <w:pPr>
              <w:pStyle w:val="mqeng"/>
              <w:jc w:val="left"/>
            </w:pPr>
            <w:r>
              <w:rPr>
                <w:noProof/>
              </w:rPr>
              <w:t>The criterion of sufficient diversification with respect to issuer concentration is considered to be respected if the Fund receives from a counterparty of efficient portfolio management and OTC financial derivative transactions a basket of collateral with a maximum exposure to a given issuer of 20% of the Fund’s net asset value.</w:t>
            </w:r>
          </w:p>
        </w:tc>
        <w:tc>
          <w:tcPr>
            <w:tcW w:w="360" w:type="dxa"/>
            <w:shd w:val="clear" w:color="auto" w:fill="auto"/>
          </w:tcPr>
          <w:p w:rsidR="00A77B3E">
            <w:pPr>
              <w:pStyle w:val="mqspa"/>
              <w:jc w:val="left"/>
            </w:pPr>
            <w:r>
              <w:rPr>
                <w:noProof w:val="0"/>
              </w:rPr>
              <w:t>El criterio de diversificación suficiente con respecto a la concentración del emisor se considera respetado si el Fondo recibe, de una contraparte de gestión eficiente de la cartera y operaciones con derivados financieros OTC, una cesta de garantías con una exposición máxima a un emisor determinado del 20% del valor neto de los activos del Fondo.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303</w:t>
              <w:br/>
            </w:r>
            <w:r>
              <w:rPr>
                <w:noProof/>
                <w:sz w:val="2"/>
              </w:rPr>
              <w:t>e5f40ae1-0666-4384-bbc9-769e0b7bdb7d</w:t>
            </w:r>
          </w:p>
        </w:tc>
        <w:tc>
          <w:tcPr>
            <w:tcW w:w="360" w:type="dxa"/>
            <w:shd w:val="clear" w:color="auto" w:fill="F2F2F2"/>
          </w:tcPr>
          <w:p w:rsidR="00A77B3E">
            <w:pPr>
              <w:pStyle w:val="mqeng"/>
              <w:jc w:val="left"/>
            </w:pPr>
            <w:r>
              <w:rPr>
                <w:noProof/>
              </w:rPr>
              <w:t>When a Fund is exposed to different counterparties, the different baskets of collateral should be aggregated to calculate the 20% limit of exposure to a single issuer.</w:t>
            </w:r>
          </w:p>
        </w:tc>
        <w:tc>
          <w:tcPr>
            <w:tcW w:w="360" w:type="dxa"/>
            <w:shd w:val="clear" w:color="auto" w:fill="auto"/>
          </w:tcPr>
          <w:p w:rsidR="00A77B3E">
            <w:pPr>
              <w:pStyle w:val="mqspa"/>
              <w:jc w:val="left"/>
            </w:pPr>
            <w:r>
              <w:rPr>
                <w:noProof w:val="0"/>
              </w:rPr>
              <w:t>Cuando un Fondo esté expuesto a distintas contrapartes, las diferentes cestas de garantías deberán sumarse para calcular el límite de exposición del 20% a un solo emisor.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304</w:t>
              <w:br/>
            </w:r>
            <w:r>
              <w:rPr>
                <w:noProof/>
                <w:sz w:val="2"/>
              </w:rPr>
              <w:t>50876af9-717e-4eea-b0e9-8fecd97199dc</w:t>
            </w:r>
          </w:p>
        </w:tc>
        <w:tc>
          <w:tcPr>
            <w:tcW w:w="360" w:type="dxa"/>
            <w:shd w:val="clear" w:color="auto" w:fill="F2F2F2"/>
          </w:tcPr>
          <w:p w:rsidR="00A77B3E">
            <w:pPr>
              <w:pStyle w:val="mqeng"/>
              <w:jc w:val="left"/>
            </w:pPr>
            <w:r>
              <w:rPr>
                <w:noProof/>
              </w:rPr>
              <w:t>By way of derogation from this sub-paragraph, a Fund may be fully collateralised in different Transferable Securities and Money Market Instruments issued or guaranteed by a Member State, one or more of its local authorities, a third country, or a public international body to which one or more Member States belong.</w:t>
            </w:r>
          </w:p>
        </w:tc>
        <w:tc>
          <w:tcPr>
            <w:tcW w:w="360" w:type="dxa"/>
            <w:shd w:val="clear" w:color="auto" w:fill="auto"/>
          </w:tcPr>
          <w:p w:rsidR="00A77B3E">
            <w:pPr>
              <w:pStyle w:val="mqspa"/>
              <w:jc w:val="left"/>
            </w:pPr>
            <w:r>
              <w:rPr>
                <w:noProof w:val="0"/>
              </w:rPr>
              <w:t>No obstante lo dispuesto en este subpárrafo, un Fondo puede estar totalmente garantizado en distintos Valores mobiliarios e Instrumentos de Mercado monetario emitidos o garantizados por un Estado miembro, una o más de sus autoridades locales, un tercer país o un organismo público internacional al que pertenezcan uno o más Estados miembros.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305</w:t>
              <w:br/>
            </w:r>
            <w:r>
              <w:rPr>
                <w:noProof/>
                <w:sz w:val="2"/>
              </w:rPr>
              <w:t>ad8ddabe-b187-4411-a287-ccbfcf43e2c0</w:t>
            </w:r>
          </w:p>
        </w:tc>
        <w:tc>
          <w:tcPr>
            <w:tcW w:w="360" w:type="dxa"/>
            <w:shd w:val="clear" w:color="auto" w:fill="F2F2F2"/>
          </w:tcPr>
          <w:p w:rsidR="00A77B3E">
            <w:pPr>
              <w:pStyle w:val="mqeng"/>
              <w:jc w:val="left"/>
            </w:pPr>
            <w:r>
              <w:rPr>
                <w:noProof/>
              </w:rPr>
              <w:t>Such a Fund should receive securities from at least six different issues, but securities from any single issue should not account for more than 30% of the Fund’s net asset value.</w:t>
            </w:r>
          </w:p>
        </w:tc>
        <w:tc>
          <w:tcPr>
            <w:tcW w:w="360" w:type="dxa"/>
            <w:shd w:val="clear" w:color="auto" w:fill="auto"/>
          </w:tcPr>
          <w:p w:rsidR="00A77B3E">
            <w:pPr>
              <w:pStyle w:val="mqspa"/>
              <w:jc w:val="left"/>
            </w:pPr>
            <w:r>
              <w:rPr>
                <w:noProof w:val="0"/>
              </w:rPr>
              <w:t>Dicho Fondo debe recibir valores de al menos seis emisiones distintas, pero los valores de cualquier emisión única no deberán constituir más del 30% del valor liquidativo del Fondo.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306</w:t>
              <w:br/>
            </w:r>
            <w:r>
              <w:rPr>
                <w:noProof/>
                <w:sz w:val="2"/>
              </w:rPr>
              <w:t>3cdb8998-bd00-4646-b250-e84472391ee3</w:t>
            </w:r>
          </w:p>
        </w:tc>
        <w:tc>
          <w:tcPr>
            <w:tcW w:w="360" w:type="dxa"/>
            <w:shd w:val="clear" w:color="auto" w:fill="F2F2F2"/>
          </w:tcPr>
          <w:p w:rsidR="00A77B3E">
            <w:pPr>
              <w:pStyle w:val="mqeng"/>
              <w:jc w:val="left"/>
            </w:pPr>
            <w:r>
              <w:rPr>
                <w:b/>
                <w:i w:val="0"/>
                <w:noProof/>
                <w:u w:val="none"/>
                <w:vertAlign w:val="baseline"/>
              </w:rPr>
              <w:t>Liquidity</w:t>
            </w:r>
          </w:p>
        </w:tc>
        <w:tc>
          <w:tcPr>
            <w:tcW w:w="360" w:type="dxa"/>
            <w:shd w:val="clear" w:color="auto" w:fill="auto"/>
          </w:tcPr>
          <w:p w:rsidR="00A77B3E">
            <w:pPr>
              <w:pStyle w:val="mqspa"/>
              <w:jc w:val="left"/>
            </w:pPr>
            <w:r>
              <w:rPr>
                <w:b/>
                <w:i w:val="0"/>
                <w:noProof w:val="0"/>
                <w:u w:val="none"/>
                <w:vertAlign w:val="baseline"/>
              </w:rPr>
              <w:t>Liquidez</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307</w:t>
              <w:br/>
            </w:r>
            <w:r>
              <w:rPr>
                <w:noProof/>
                <w:sz w:val="2"/>
              </w:rPr>
              <w:t>0ae0bbd0-ffef-48f2-9261-32ab479bb289</w:t>
            </w:r>
          </w:p>
        </w:tc>
        <w:tc>
          <w:tcPr>
            <w:tcW w:w="360" w:type="dxa"/>
            <w:shd w:val="clear" w:color="auto" w:fill="F2F2F2"/>
          </w:tcPr>
          <w:p w:rsidR="00A77B3E">
            <w:pPr>
              <w:pStyle w:val="mqeng"/>
              <w:jc w:val="left"/>
            </w:pPr>
            <w:r>
              <w:rPr>
                <w:noProof/>
              </w:rPr>
              <w:t>Collateral (other than cash) should be highly liquid and traded on a Regulated Market or multilateral trading facility with transparent pricing in order that it can be sold quickly at a price that is close to pre-sale valuation.</w:t>
            </w:r>
          </w:p>
        </w:tc>
        <w:tc>
          <w:tcPr>
            <w:tcW w:w="360" w:type="dxa"/>
            <w:shd w:val="clear" w:color="auto" w:fill="auto"/>
          </w:tcPr>
          <w:p w:rsidR="00A77B3E">
            <w:pPr>
              <w:pStyle w:val="mqspa"/>
              <w:jc w:val="left"/>
            </w:pPr>
            <w:r>
              <w:rPr>
                <w:noProof w:val="0"/>
              </w:rPr>
              <w:t>Las garantías (que no sean efectivo) deben ser muy líquidas y negociarse en un mercado regulado o en un sistema de negociación multilateral con fijación de precios transparente para que se puedan vender rápido a un precio cercano a la valoración previa a la venta.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308</w:t>
              <w:br/>
            </w:r>
            <w:r>
              <w:rPr>
                <w:noProof/>
                <w:sz w:val="2"/>
              </w:rPr>
              <w:t>c0672d2e-b31d-45cc-84d4-ee7f86defd1b</w:t>
            </w:r>
          </w:p>
        </w:tc>
        <w:tc>
          <w:tcPr>
            <w:tcW w:w="360" w:type="dxa"/>
            <w:shd w:val="clear" w:color="auto" w:fill="F2F2F2"/>
          </w:tcPr>
          <w:p w:rsidR="00A77B3E">
            <w:pPr>
              <w:pStyle w:val="mqeng"/>
              <w:jc w:val="left"/>
            </w:pPr>
            <w:r>
              <w:rPr>
                <w:b/>
                <w:i w:val="0"/>
                <w:noProof/>
                <w:u w:val="none"/>
                <w:vertAlign w:val="baseline"/>
              </w:rPr>
              <w:t>Correlation</w:t>
            </w:r>
          </w:p>
        </w:tc>
        <w:tc>
          <w:tcPr>
            <w:tcW w:w="360" w:type="dxa"/>
            <w:shd w:val="clear" w:color="auto" w:fill="auto"/>
          </w:tcPr>
          <w:p w:rsidR="00A77B3E">
            <w:pPr>
              <w:pStyle w:val="mqspa"/>
              <w:jc w:val="left"/>
            </w:pPr>
            <w:r>
              <w:rPr>
                <w:b/>
                <w:i w:val="0"/>
                <w:noProof w:val="0"/>
                <w:u w:val="none"/>
                <w:vertAlign w:val="baseline"/>
              </w:rPr>
              <w:t>Correlación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309</w:t>
              <w:br/>
            </w:r>
            <w:r>
              <w:rPr>
                <w:noProof/>
                <w:sz w:val="2"/>
              </w:rPr>
              <w:t>219a5b43-f4a2-4f20-9634-3874df10bbef</w:t>
            </w:r>
          </w:p>
        </w:tc>
        <w:tc>
          <w:tcPr>
            <w:tcW w:w="360" w:type="dxa"/>
            <w:shd w:val="clear" w:color="auto" w:fill="F2F2F2"/>
          </w:tcPr>
          <w:p w:rsidR="00A77B3E">
            <w:pPr>
              <w:pStyle w:val="mqeng"/>
              <w:jc w:val="left"/>
            </w:pPr>
            <w:r>
              <w:rPr>
                <w:noProof/>
              </w:rPr>
              <w:t>The collateral received will be issued by an entity that is independent from the counterparty and is expected not to display a high correlation with the performance of the counterparty.</w:t>
            </w:r>
          </w:p>
        </w:tc>
        <w:tc>
          <w:tcPr>
            <w:tcW w:w="360" w:type="dxa"/>
            <w:shd w:val="clear" w:color="auto" w:fill="auto"/>
          </w:tcPr>
          <w:p w:rsidR="00A77B3E">
            <w:pPr>
              <w:pStyle w:val="mqspa"/>
              <w:jc w:val="left"/>
            </w:pPr>
            <w:r>
              <w:rPr>
                <w:noProof w:val="0"/>
              </w:rPr>
              <w:t>Las garantías recibidas serán emitidas por una entidad que es independiente de la contraparte y se espera que no muestre una alta correlación con el rendimiento de la contraparte.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310</w:t>
              <w:br/>
            </w:r>
            <w:r>
              <w:rPr>
                <w:noProof/>
                <w:sz w:val="2"/>
              </w:rPr>
              <w:t>a9945635-a750-4b42-ab04-d8d56715c40b</w:t>
            </w:r>
          </w:p>
        </w:tc>
        <w:tc>
          <w:tcPr>
            <w:tcW w:w="360" w:type="dxa"/>
            <w:shd w:val="clear" w:color="auto" w:fill="F2F2F2"/>
          </w:tcPr>
          <w:p w:rsidR="00A77B3E">
            <w:pPr>
              <w:pStyle w:val="mqeng"/>
              <w:jc w:val="left"/>
            </w:pPr>
            <w:r>
              <w:rPr>
                <w:b/>
                <w:i w:val="0"/>
                <w:noProof/>
                <w:u w:val="none"/>
                <w:vertAlign w:val="baseline"/>
              </w:rPr>
              <w:t>Custody</w:t>
            </w:r>
          </w:p>
        </w:tc>
        <w:tc>
          <w:tcPr>
            <w:tcW w:w="360" w:type="dxa"/>
            <w:shd w:val="clear" w:color="auto" w:fill="auto"/>
          </w:tcPr>
          <w:p w:rsidR="00A77B3E">
            <w:pPr>
              <w:pStyle w:val="mqspa"/>
              <w:jc w:val="left"/>
            </w:pPr>
            <w:r>
              <w:rPr>
                <w:b/>
                <w:i w:val="0"/>
                <w:noProof w:val="0"/>
                <w:u w:val="none"/>
                <w:vertAlign w:val="baseline"/>
              </w:rPr>
              <w:t>Custodia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311</w:t>
              <w:br/>
            </w:r>
            <w:r>
              <w:rPr>
                <w:noProof/>
                <w:sz w:val="2"/>
              </w:rPr>
              <w:t>6ebdc753-c566-4834-a746-a1ec17db0d72</w:t>
            </w:r>
          </w:p>
        </w:tc>
        <w:tc>
          <w:tcPr>
            <w:tcW w:w="360" w:type="dxa"/>
            <w:shd w:val="clear" w:color="auto" w:fill="F2F2F2"/>
          </w:tcPr>
          <w:p w:rsidR="00A77B3E">
            <w:pPr>
              <w:pStyle w:val="mqeng"/>
              <w:jc w:val="left"/>
            </w:pPr>
            <w:r>
              <w:rPr>
                <w:noProof/>
              </w:rPr>
              <w:t xml:space="preserve">Collateral received will be held by the Depositary, or a delegated third-party custodian subject to the conditions laid down in the applicable laws and regulations and the provisions of the Depositary Agreement </w:t>
            </w:r>
            <w:r>
              <w:rPr>
                <w:rStyle w:val="mqInternal"/>
                <w:b w:val="0"/>
                <w:i w:val="0"/>
                <w:noProof/>
                <w:u w:val="none"/>
                <w:vertAlign w:val="baseline"/>
              </w:rPr>
              <w:t>[1}</w:t>
            </w:r>
            <w:r>
              <w:rPr>
                <w:noProof/>
              </w:rPr>
              <w:t>(or applicable delegation agreement)</w:t>
            </w:r>
            <w:r>
              <w:rPr>
                <w:rStyle w:val="mqInternal"/>
                <w:b w:val="0"/>
                <w:i w:val="0"/>
                <w:noProof/>
                <w:u w:val="none"/>
                <w:vertAlign w:val="baseline"/>
              </w:rPr>
              <w:t>{2]</w:t>
            </w:r>
            <w:r>
              <w:rPr>
                <w:noProof/>
              </w:rPr>
              <w:t>.</w:t>
            </w:r>
          </w:p>
        </w:tc>
        <w:tc>
          <w:tcPr>
            <w:tcW w:w="360" w:type="dxa"/>
            <w:shd w:val="clear" w:color="auto" w:fill="auto"/>
          </w:tcPr>
          <w:p w:rsidR="00A77B3E">
            <w:pPr>
              <w:pStyle w:val="mqspa"/>
              <w:jc w:val="left"/>
            </w:pPr>
            <w:r>
              <w:rPr>
                <w:noProof w:val="0"/>
              </w:rPr>
              <w:t xml:space="preserve">La garantía recibida será mantenida por el Depositario, o un depositario delegado de terceros, en las condiciones estipuladas en las leyes y reglamentos aplicables y en las disposiciones del Contrato del Depositario </w:t>
            </w:r>
            <w:r>
              <w:rPr>
                <w:rStyle w:val="mqInternal"/>
                <w:b w:val="0"/>
                <w:i w:val="0"/>
                <w:noProof/>
                <w:u w:val="none"/>
                <w:vertAlign w:val="baseline"/>
              </w:rPr>
              <w:t>[1}</w:t>
            </w:r>
            <w:r>
              <w:rPr>
                <w:noProof w:val="0"/>
              </w:rPr>
              <w:t>(o del acuerdo de delegación aplicable</w:t>
            </w:r>
            <w:r>
              <w:rPr>
                <w:rStyle w:val="mqInternal"/>
                <w:b w:val="0"/>
                <w:i w:val="0"/>
                <w:noProof/>
                <w:u w:val="none"/>
                <w:vertAlign w:val="baseline"/>
              </w:rPr>
              <w:t>{2]</w:t>
            </w:r>
            <w:r>
              <w:rPr>
                <w:noProof w:val="0"/>
              </w:rPr>
              <w:t xml:space="preserve"> ).</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312</w:t>
              <w:br/>
            </w:r>
            <w:r>
              <w:rPr>
                <w:noProof/>
                <w:sz w:val="2"/>
              </w:rPr>
              <w:t>aa28ed2c-b989-4b6a-b3cc-e2cc025ecd9d</w:t>
            </w:r>
          </w:p>
        </w:tc>
        <w:tc>
          <w:tcPr>
            <w:tcW w:w="360" w:type="dxa"/>
            <w:shd w:val="clear" w:color="auto" w:fill="F2F2F2"/>
          </w:tcPr>
          <w:p w:rsidR="00A77B3E">
            <w:pPr>
              <w:pStyle w:val="mqeng"/>
              <w:jc w:val="left"/>
            </w:pPr>
            <w:r>
              <w:rPr>
                <w:noProof/>
              </w:rPr>
              <w:t>Securities may be held by the Securities Lending Agent on behalf of the Funds at a tri-party agent or securities depository chosen by the Securities Lending Agent.</w:t>
            </w:r>
          </w:p>
        </w:tc>
        <w:tc>
          <w:tcPr>
            <w:tcW w:w="360" w:type="dxa"/>
            <w:shd w:val="clear" w:color="auto" w:fill="auto"/>
          </w:tcPr>
          <w:p w:rsidR="00A77B3E">
            <w:pPr>
              <w:pStyle w:val="mqspa"/>
              <w:jc w:val="left"/>
            </w:pPr>
            <w:r>
              <w:rPr>
                <w:noProof w:val="0"/>
              </w:rPr>
              <w:t>Las Securities pueden ser mantenidas por el Agente de Préstamo de Securities en nombre de los Fondos en un agente tri-partito o en un depósito de securities elegido por el Agente de Préstamo de Securities.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313</w:t>
              <w:br/>
            </w:r>
            <w:r>
              <w:rPr>
                <w:noProof/>
                <w:sz w:val="2"/>
              </w:rPr>
              <w:t>deef28b1-23f4-45fd-b898-29ebbca13256</w:t>
            </w:r>
          </w:p>
        </w:tc>
        <w:tc>
          <w:tcPr>
            <w:tcW w:w="360" w:type="dxa"/>
            <w:shd w:val="clear" w:color="auto" w:fill="F2F2F2"/>
          </w:tcPr>
          <w:p w:rsidR="00A77B3E">
            <w:pPr>
              <w:pStyle w:val="mqeng"/>
              <w:jc w:val="left"/>
            </w:pPr>
            <w:r>
              <w:rPr>
                <w:b/>
                <w:i w:val="0"/>
                <w:noProof/>
                <w:u w:val="single"/>
                <w:vertAlign w:val="baseline"/>
              </w:rPr>
              <w:t>Collateral Management Policy for Securities Lending</w:t>
            </w:r>
          </w:p>
        </w:tc>
        <w:tc>
          <w:tcPr>
            <w:tcW w:w="360" w:type="dxa"/>
            <w:shd w:val="clear" w:color="auto" w:fill="auto"/>
          </w:tcPr>
          <w:p w:rsidR="00A77B3E">
            <w:pPr>
              <w:pStyle w:val="mqspa"/>
              <w:jc w:val="left"/>
            </w:pPr>
            <w:r>
              <w:rPr>
                <w:b/>
                <w:i w:val="0"/>
                <w:noProof w:val="0"/>
                <w:u w:val="single"/>
                <w:vertAlign w:val="baseline"/>
              </w:rPr>
              <w:t>Política de gestión de garantías para préstamos de valores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314</w:t>
              <w:br/>
            </w:r>
            <w:r>
              <w:rPr>
                <w:noProof/>
                <w:sz w:val="2"/>
              </w:rPr>
              <w:t>877f173f-b770-42a9-b4d0-beadab20bbd5</w:t>
            </w:r>
          </w:p>
        </w:tc>
        <w:tc>
          <w:tcPr>
            <w:tcW w:w="360" w:type="dxa"/>
            <w:shd w:val="clear" w:color="auto" w:fill="F2F2F2"/>
          </w:tcPr>
          <w:p w:rsidR="00A77B3E">
            <w:pPr>
              <w:pStyle w:val="mqeng"/>
              <w:jc w:val="left"/>
            </w:pPr>
            <w:r>
              <w:rPr>
                <w:b/>
                <w:i w:val="0"/>
                <w:noProof/>
                <w:u w:val="none"/>
                <w:vertAlign w:val="baseline"/>
              </w:rPr>
              <w:t>Eligible Collateral</w:t>
            </w:r>
          </w:p>
        </w:tc>
        <w:tc>
          <w:tcPr>
            <w:tcW w:w="360" w:type="dxa"/>
            <w:shd w:val="clear" w:color="auto" w:fill="auto"/>
          </w:tcPr>
          <w:p w:rsidR="00A77B3E">
            <w:pPr>
              <w:pStyle w:val="mqspa"/>
              <w:jc w:val="left"/>
            </w:pPr>
            <w:r>
              <w:rPr>
                <w:b/>
                <w:i w:val="0"/>
                <w:noProof w:val="0"/>
                <w:u w:val="none"/>
                <w:vertAlign w:val="baseline"/>
              </w:rPr>
              <w:t>Garantías admisibles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315</w:t>
              <w:br/>
            </w:r>
            <w:r>
              <w:rPr>
                <w:noProof/>
                <w:sz w:val="2"/>
              </w:rPr>
              <w:t>61484f9a-b6c4-42f0-96ac-3566abdb4c27</w:t>
            </w:r>
          </w:p>
        </w:tc>
        <w:tc>
          <w:tcPr>
            <w:tcW w:w="360" w:type="dxa"/>
            <w:shd w:val="clear" w:color="auto" w:fill="F2F2F2"/>
          </w:tcPr>
          <w:p w:rsidR="00A77B3E">
            <w:pPr>
              <w:pStyle w:val="mqeng"/>
              <w:jc w:val="left"/>
            </w:pPr>
            <w:r>
              <w:rPr>
                <w:noProof/>
              </w:rPr>
              <w:t>The Company will generally require the counterparty to post collateral as defined by Luxembourg laws and regulations, in particular the ESMA Guidelines 2014/937 on ETFs and other UCITS issues (“ESMA 2014/937”), as may be amended and/or supplemented from time to time.</w:t>
            </w:r>
          </w:p>
        </w:tc>
        <w:tc>
          <w:tcPr>
            <w:tcW w:w="360" w:type="dxa"/>
            <w:shd w:val="clear" w:color="auto" w:fill="auto"/>
          </w:tcPr>
          <w:p w:rsidR="00A77B3E">
            <w:pPr>
              <w:pStyle w:val="mqspa"/>
              <w:jc w:val="left"/>
            </w:pPr>
            <w:r>
              <w:rPr>
                <w:noProof w:val="0"/>
              </w:rPr>
              <w:t>La Compañía exigirá por lo general a la contraparte que emita garantías según se definen en las leyes y reglamentos luxemburgueses, en particular las Directrices de la AEVM 2014/937 sobre fondos cotizados (ETF) y otras cuestiones relativas a los OICVM («AEVM 2014/937»), en su versión que pueda ser modificada y/o complementada de vez en cuando.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316</w:t>
              <w:br/>
            </w:r>
            <w:r>
              <w:rPr>
                <w:noProof/>
                <w:sz w:val="2"/>
              </w:rPr>
              <w:t>965429a8-14d3-4f34-bd7e-84ce1039cb90</w:t>
            </w:r>
          </w:p>
        </w:tc>
        <w:tc>
          <w:tcPr>
            <w:tcW w:w="360" w:type="dxa"/>
            <w:shd w:val="clear" w:color="auto" w:fill="F2F2F2"/>
          </w:tcPr>
          <w:p w:rsidR="00A77B3E">
            <w:pPr>
              <w:pStyle w:val="mqeng"/>
              <w:jc w:val="left"/>
            </w:pPr>
            <w:r>
              <w:rPr>
                <w:noProof/>
              </w:rPr>
              <w:t>Collateral (other than highly liquid cash) received will mainly consist of high-quality government bonds, corporate bonds, equities which are highly liquid and traded on a regulated market or multilateral trading facility with transparent pricing in order that they can be sold quickly at a price that is close to pre-sale valuation.</w:t>
            </w:r>
          </w:p>
        </w:tc>
        <w:tc>
          <w:tcPr>
            <w:tcW w:w="360" w:type="dxa"/>
            <w:shd w:val="clear" w:color="auto" w:fill="auto"/>
          </w:tcPr>
          <w:p w:rsidR="00A77B3E">
            <w:pPr>
              <w:pStyle w:val="mqspa"/>
              <w:jc w:val="left"/>
            </w:pPr>
            <w:r>
              <w:rPr>
                <w:noProof w:val="0"/>
              </w:rPr>
              <w:t>Las garantías (que no sean efectivo muy líquidas) recibidas consistirán principalmente en bonos gubernamentales de alta calidad, bonos corporativos y acciones que son muy líquidas y se negocian en un mercado regulado o en una plataforma de negociación multilateral con precios transparentes, para que puedan venderse rápidamente a un precio cercano a la valoración previa a la venta.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317</w:t>
              <w:br/>
            </w:r>
            <w:r>
              <w:rPr>
                <w:noProof/>
                <w:sz w:val="2"/>
              </w:rPr>
              <w:t>16d1fbd1-e682-408c-a926-ff68ae89d532</w:t>
            </w:r>
          </w:p>
        </w:tc>
        <w:tc>
          <w:tcPr>
            <w:tcW w:w="360" w:type="dxa"/>
            <w:shd w:val="clear" w:color="auto" w:fill="F2F2F2"/>
          </w:tcPr>
          <w:p w:rsidR="00A77B3E">
            <w:pPr>
              <w:pStyle w:val="mqeng"/>
              <w:jc w:val="left"/>
            </w:pPr>
            <w:r>
              <w:rPr>
                <w:b/>
                <w:i w:val="0"/>
                <w:noProof/>
                <w:u w:val="none"/>
                <w:vertAlign w:val="baseline"/>
              </w:rPr>
              <w:t>Issuer Credit Quality</w:t>
            </w:r>
          </w:p>
        </w:tc>
        <w:tc>
          <w:tcPr>
            <w:tcW w:w="360" w:type="dxa"/>
            <w:shd w:val="clear" w:color="auto" w:fill="auto"/>
          </w:tcPr>
          <w:p w:rsidR="00A77B3E">
            <w:pPr>
              <w:pStyle w:val="mqspa"/>
              <w:jc w:val="left"/>
            </w:pPr>
            <w:r>
              <w:rPr>
                <w:b/>
                <w:i w:val="0"/>
                <w:noProof w:val="0"/>
                <w:u w:val="none"/>
                <w:vertAlign w:val="baseline"/>
              </w:rPr>
              <w:t>Calidad crediticia del emisor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318</w:t>
              <w:br/>
            </w:r>
            <w:r>
              <w:rPr>
                <w:noProof/>
                <w:sz w:val="2"/>
              </w:rPr>
              <w:t>21778846-7621-4d43-81b7-8cddac9c1c3f</w:t>
            </w:r>
          </w:p>
        </w:tc>
        <w:tc>
          <w:tcPr>
            <w:tcW w:w="360" w:type="dxa"/>
            <w:shd w:val="clear" w:color="auto" w:fill="F2F2F2"/>
          </w:tcPr>
          <w:p w:rsidR="00A77B3E">
            <w:pPr>
              <w:pStyle w:val="mqeng"/>
              <w:jc w:val="left"/>
            </w:pPr>
            <w:r>
              <w:rPr>
                <w:noProof/>
              </w:rPr>
              <w:t>Collateral received will be of high-quality subject to a minimum long-term credit rating of at least A- by one or more major rating agency or equities.</w:t>
            </w:r>
          </w:p>
        </w:tc>
        <w:tc>
          <w:tcPr>
            <w:tcW w:w="360" w:type="dxa"/>
            <w:shd w:val="clear" w:color="auto" w:fill="auto"/>
          </w:tcPr>
          <w:p w:rsidR="00A77B3E">
            <w:pPr>
              <w:pStyle w:val="mqspa"/>
              <w:jc w:val="left"/>
            </w:pPr>
            <w:r>
              <w:rPr>
                <w:noProof w:val="0"/>
              </w:rPr>
              <w:t>Las garantías recibidas serán de alta calidad, sujetas a una calificación crediticia mínima a largo plazo de al menos A- por una o más importantes agencias de calificación o valores de renta variable.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319</w:t>
              <w:br/>
            </w:r>
            <w:r>
              <w:rPr>
                <w:noProof/>
                <w:sz w:val="2"/>
              </w:rPr>
              <w:t>1bc7f1a4-8e5c-4335-aaea-1f07660acbf6</w:t>
            </w:r>
          </w:p>
        </w:tc>
        <w:tc>
          <w:tcPr>
            <w:tcW w:w="360" w:type="dxa"/>
            <w:shd w:val="clear" w:color="auto" w:fill="F2F2F2"/>
          </w:tcPr>
          <w:p w:rsidR="00A77B3E">
            <w:pPr>
              <w:pStyle w:val="mqeng"/>
              <w:jc w:val="left"/>
            </w:pPr>
            <w:r>
              <w:rPr>
                <w:b/>
                <w:i w:val="0"/>
                <w:noProof/>
                <w:u w:val="none"/>
                <w:vertAlign w:val="baseline"/>
              </w:rPr>
              <w:t>Reuse and Reinvestment of Collateral</w:t>
            </w:r>
          </w:p>
        </w:tc>
        <w:tc>
          <w:tcPr>
            <w:tcW w:w="360" w:type="dxa"/>
            <w:shd w:val="clear" w:color="auto" w:fill="auto"/>
          </w:tcPr>
          <w:p w:rsidR="00A77B3E">
            <w:pPr>
              <w:pStyle w:val="mqspa"/>
              <w:jc w:val="left"/>
            </w:pPr>
            <w:r>
              <w:rPr>
                <w:b/>
                <w:i w:val="0"/>
                <w:noProof w:val="0"/>
                <w:u w:val="none"/>
                <w:vertAlign w:val="baseline"/>
              </w:rPr>
              <w:t>Reutilización y reinversión de garantías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320</w:t>
              <w:br/>
            </w:r>
            <w:r>
              <w:rPr>
                <w:noProof/>
                <w:sz w:val="2"/>
              </w:rPr>
              <w:t>87d34d57-f123-4dde-99b2-d8ea2f4ecdb2</w:t>
            </w:r>
          </w:p>
        </w:tc>
        <w:tc>
          <w:tcPr>
            <w:tcW w:w="360" w:type="dxa"/>
            <w:shd w:val="clear" w:color="auto" w:fill="F2F2F2"/>
          </w:tcPr>
          <w:p w:rsidR="00A77B3E">
            <w:pPr>
              <w:pStyle w:val="mqeng"/>
              <w:jc w:val="left"/>
            </w:pPr>
            <w:r>
              <w:rPr>
                <w:noProof/>
              </w:rPr>
              <w:t>Non-cash collateral received will not be sold, re-invested or pledged.</w:t>
            </w:r>
          </w:p>
        </w:tc>
        <w:tc>
          <w:tcPr>
            <w:tcW w:w="360" w:type="dxa"/>
            <w:shd w:val="clear" w:color="auto" w:fill="auto"/>
          </w:tcPr>
          <w:p w:rsidR="00A77B3E">
            <w:pPr>
              <w:pStyle w:val="mqspa"/>
              <w:jc w:val="left"/>
            </w:pPr>
            <w:r>
              <w:rPr>
                <w:noProof w:val="0"/>
              </w:rPr>
              <w:t>Las garantías no dinerarias recibidas no se venderán, reinvertirán ni pignorarán.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321</w:t>
              <w:br/>
            </w:r>
            <w:r>
              <w:rPr>
                <w:noProof/>
                <w:sz w:val="2"/>
              </w:rPr>
              <w:t>3d37602b-e12a-454c-99cf-e8805b7f116a</w:t>
            </w:r>
          </w:p>
        </w:tc>
        <w:tc>
          <w:tcPr>
            <w:tcW w:w="360" w:type="dxa"/>
            <w:shd w:val="clear" w:color="auto" w:fill="F2F2F2"/>
          </w:tcPr>
          <w:p w:rsidR="00A77B3E">
            <w:pPr>
              <w:pStyle w:val="mqeng"/>
              <w:jc w:val="left"/>
            </w:pPr>
            <w:r>
              <w:rPr>
                <w:noProof/>
              </w:rPr>
              <w:t>Cash collateral received may only be reinvested in the following ways:</w:t>
            </w:r>
          </w:p>
        </w:tc>
        <w:tc>
          <w:tcPr>
            <w:tcW w:w="360" w:type="dxa"/>
            <w:shd w:val="clear" w:color="auto" w:fill="auto"/>
          </w:tcPr>
          <w:p w:rsidR="00A77B3E">
            <w:pPr>
              <w:pStyle w:val="mqspa"/>
              <w:jc w:val="left"/>
            </w:pPr>
            <w:r>
              <w:rPr>
                <w:noProof w:val="0"/>
              </w:rPr>
              <w:t>Las garantías dinerarias recibidas únicamente podrán reinvertirse de las maneras siguientes: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322</w:t>
              <w:br/>
            </w:r>
            <w:r>
              <w:rPr>
                <w:noProof/>
                <w:sz w:val="2"/>
              </w:rPr>
              <w:t>8c502f0b-b6d6-4b33-a54d-9bb938547996</w:t>
            </w:r>
          </w:p>
        </w:tc>
        <w:tc>
          <w:tcPr>
            <w:tcW w:w="360" w:type="dxa"/>
            <w:shd w:val="clear" w:color="auto" w:fill="F2F2F2"/>
          </w:tcPr>
          <w:p w:rsidR="00A77B3E">
            <w:pPr>
              <w:pStyle w:val="mqeng"/>
              <w:jc w:val="left"/>
            </w:pPr>
            <w:r>
              <w:rPr>
                <w:noProof/>
              </w:rPr>
              <w:t>placed on deposit with entities prescribed in Article 50(f) of the UCITS Directive, as may be amended from time to time; or</w:t>
            </w:r>
          </w:p>
        </w:tc>
        <w:tc>
          <w:tcPr>
            <w:tcW w:w="360" w:type="dxa"/>
            <w:shd w:val="clear" w:color="auto" w:fill="auto"/>
          </w:tcPr>
          <w:p w:rsidR="00A77B3E">
            <w:pPr>
              <w:pStyle w:val="mqspa"/>
              <w:jc w:val="left"/>
            </w:pPr>
            <w:r>
              <w:rPr>
                <w:noProof w:val="0"/>
              </w:rPr>
              <w:t>mantenerse en depósito con las entidades estipuladas en el Artículo 50(f) de la Directiva UCITS, según se modifique de vez en cuando; 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323</w:t>
              <w:br/>
            </w:r>
            <w:r>
              <w:rPr>
                <w:noProof/>
                <w:sz w:val="2"/>
              </w:rPr>
              <w:t>5faa224e-230c-42a1-a604-6445b6ded46a</w:t>
            </w:r>
          </w:p>
        </w:tc>
        <w:tc>
          <w:tcPr>
            <w:tcW w:w="360" w:type="dxa"/>
            <w:shd w:val="clear" w:color="auto" w:fill="F2F2F2"/>
          </w:tcPr>
          <w:p w:rsidR="00A77B3E">
            <w:pPr>
              <w:pStyle w:val="mqeng"/>
              <w:jc w:val="left"/>
            </w:pPr>
            <w:r>
              <w:rPr>
                <w:noProof/>
              </w:rPr>
              <w:t>invested in high-quality government bonds;</w:t>
            </w:r>
          </w:p>
        </w:tc>
        <w:tc>
          <w:tcPr>
            <w:tcW w:w="360" w:type="dxa"/>
            <w:shd w:val="clear" w:color="auto" w:fill="auto"/>
          </w:tcPr>
          <w:p w:rsidR="00A77B3E">
            <w:pPr>
              <w:pStyle w:val="mqspa"/>
              <w:jc w:val="left"/>
            </w:pPr>
            <w:r>
              <w:rPr>
                <w:noProof w:val="0"/>
              </w:rPr>
              <w:t>invertidos en deuda pública de alta calidad;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324</w:t>
              <w:br/>
            </w:r>
            <w:r>
              <w:rPr>
                <w:noProof/>
                <w:sz w:val="2"/>
              </w:rPr>
              <w:t>2d79cf03-3c88-4f3b-b62c-f3c3e6f8c4c3</w:t>
            </w:r>
          </w:p>
        </w:tc>
        <w:tc>
          <w:tcPr>
            <w:tcW w:w="360" w:type="dxa"/>
            <w:shd w:val="clear" w:color="auto" w:fill="F2F2F2"/>
          </w:tcPr>
          <w:p w:rsidR="00A77B3E">
            <w:pPr>
              <w:pStyle w:val="mqeng"/>
              <w:jc w:val="left"/>
            </w:pPr>
            <w:r>
              <w:rPr>
                <w:noProof/>
              </w:rPr>
              <w:t>used for the purpose of reverse repurchase transactions provided the transactions are with credit institutions subject to prudential supervision and the Company is able to recall at any time the full amount of cash on accrued basis;</w:t>
            </w:r>
          </w:p>
        </w:tc>
        <w:tc>
          <w:tcPr>
            <w:tcW w:w="360" w:type="dxa"/>
            <w:shd w:val="clear" w:color="auto" w:fill="auto"/>
          </w:tcPr>
          <w:p w:rsidR="00A77B3E">
            <w:pPr>
              <w:pStyle w:val="mqspa"/>
              <w:jc w:val="left"/>
            </w:pPr>
            <w:r>
              <w:rPr>
                <w:noProof w:val="0"/>
              </w:rPr>
              <w:t>utilizadas a efectos de operaciones de recompra inversa, siempre que las transacciones se realicen con entidades de crédito sujetas a supervisión prudencial y la Sociedad pueda rescatar en cualquier momento el importe total del efectivo en base devengada;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325</w:t>
              <w:br/>
            </w:r>
            <w:r>
              <w:rPr>
                <w:noProof/>
                <w:sz w:val="2"/>
              </w:rPr>
              <w:t>53d10c09-6874-454c-ae72-9e4e5fb6737f</w:t>
            </w:r>
          </w:p>
        </w:tc>
        <w:tc>
          <w:tcPr>
            <w:tcW w:w="360" w:type="dxa"/>
            <w:shd w:val="clear" w:color="auto" w:fill="F2F2F2"/>
          </w:tcPr>
          <w:p w:rsidR="00A77B3E">
            <w:pPr>
              <w:pStyle w:val="mqeng"/>
              <w:jc w:val="left"/>
            </w:pPr>
            <w:r>
              <w:rPr>
                <w:noProof/>
              </w:rPr>
              <w:t>invested in short-term money market funds as defined under the ESMA’s Guidelines on a Common Definition of European Money Market Funds, as may be amended from time to time.</w:t>
            </w:r>
          </w:p>
        </w:tc>
        <w:tc>
          <w:tcPr>
            <w:tcW w:w="360" w:type="dxa"/>
            <w:shd w:val="clear" w:color="auto" w:fill="auto"/>
          </w:tcPr>
          <w:p w:rsidR="00A77B3E">
            <w:pPr>
              <w:pStyle w:val="mqspa"/>
              <w:jc w:val="left"/>
            </w:pPr>
            <w:r>
              <w:rPr>
                <w:noProof w:val="0"/>
              </w:rPr>
              <w:t>invertidas en fondos del mercado monetario a corto plazo según se definen en las Directrices de la AEVM sobre una definición común de los fondos del mercado monetario europeos, según se pueda modificar de vez en cuando.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326</w:t>
              <w:br/>
            </w:r>
            <w:r>
              <w:rPr>
                <w:noProof/>
                <w:sz w:val="2"/>
              </w:rPr>
              <w:t>3a4e6723-5ea2-457d-a9b6-46521b51f7d5</w:t>
            </w:r>
          </w:p>
        </w:tc>
        <w:tc>
          <w:tcPr>
            <w:tcW w:w="360" w:type="dxa"/>
            <w:shd w:val="clear" w:color="auto" w:fill="F2F2F2"/>
          </w:tcPr>
          <w:p w:rsidR="00A77B3E">
            <w:pPr>
              <w:pStyle w:val="mqeng"/>
              <w:jc w:val="left"/>
            </w:pPr>
            <w:r>
              <w:rPr>
                <w:noProof/>
              </w:rPr>
              <w:t>Re-invested cash collateral will be diversified in accordance with the diversification requirements applicable to non-cash collateral.</w:t>
            </w:r>
          </w:p>
        </w:tc>
        <w:tc>
          <w:tcPr>
            <w:tcW w:w="360" w:type="dxa"/>
            <w:shd w:val="clear" w:color="auto" w:fill="auto"/>
          </w:tcPr>
          <w:p w:rsidR="00A77B3E">
            <w:pPr>
              <w:pStyle w:val="mqspa"/>
              <w:jc w:val="left"/>
            </w:pPr>
            <w:r>
              <w:rPr>
                <w:noProof w:val="0"/>
              </w:rPr>
              <w:t>Las garantías dinerarias reinvertidas se diversificarán de acuerdo con los requisitos de diversificación aplicables a las garantías no monetarias.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327</w:t>
              <w:br/>
            </w:r>
            <w:r>
              <w:rPr>
                <w:noProof/>
                <w:sz w:val="2"/>
              </w:rPr>
              <w:t>0a1a516b-6d41-4d5c-850a-1440bcdcfbbb</w:t>
            </w:r>
          </w:p>
        </w:tc>
        <w:tc>
          <w:tcPr>
            <w:tcW w:w="360" w:type="dxa"/>
            <w:shd w:val="clear" w:color="auto" w:fill="F2F2F2"/>
          </w:tcPr>
          <w:p w:rsidR="00A77B3E">
            <w:pPr>
              <w:pStyle w:val="mqeng"/>
              <w:jc w:val="left"/>
            </w:pPr>
            <w:r>
              <w:rPr>
                <w:b/>
                <w:i w:val="0"/>
                <w:noProof/>
                <w:u w:val="none"/>
                <w:vertAlign w:val="baseline"/>
              </w:rPr>
              <w:t>Valuation and Haircuts</w:t>
            </w:r>
          </w:p>
        </w:tc>
        <w:tc>
          <w:tcPr>
            <w:tcW w:w="360" w:type="dxa"/>
            <w:shd w:val="clear" w:color="auto" w:fill="auto"/>
          </w:tcPr>
          <w:p w:rsidR="00A77B3E">
            <w:pPr>
              <w:pStyle w:val="mqspa"/>
              <w:jc w:val="left"/>
            </w:pPr>
            <w:r>
              <w:rPr>
                <w:b/>
                <w:i w:val="0"/>
                <w:noProof w:val="0"/>
                <w:u w:val="none"/>
                <w:vertAlign w:val="baseline"/>
              </w:rPr>
              <w:t>Valoración y descuentos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328</w:t>
              <w:br/>
            </w:r>
            <w:r>
              <w:rPr>
                <w:noProof/>
                <w:sz w:val="2"/>
              </w:rPr>
              <w:t>f17920f1-d487-4484-8e26-b90b8b6a1d3f</w:t>
            </w:r>
          </w:p>
        </w:tc>
        <w:tc>
          <w:tcPr>
            <w:tcW w:w="360" w:type="dxa"/>
            <w:shd w:val="clear" w:color="auto" w:fill="F2F2F2"/>
          </w:tcPr>
          <w:p w:rsidR="00A77B3E">
            <w:pPr>
              <w:pStyle w:val="mqeng"/>
              <w:jc w:val="left"/>
            </w:pPr>
            <w:r>
              <w:rPr>
                <w:noProof/>
              </w:rPr>
              <w:t>Valuations are carried out daily in accordance with the relevant valuation principles as described in this Prospectus and a margin is applied to collateral transactions so that, depending on the combination of securities on loan and the type of collateral received, the value of collateral required will range from 102% to 110% of the value of securities on loan.</w:t>
            </w:r>
          </w:p>
        </w:tc>
        <w:tc>
          <w:tcPr>
            <w:tcW w:w="360" w:type="dxa"/>
            <w:shd w:val="clear" w:color="auto" w:fill="auto"/>
          </w:tcPr>
          <w:p w:rsidR="00A77B3E">
            <w:pPr>
              <w:pStyle w:val="mqspa"/>
              <w:jc w:val="left"/>
            </w:pPr>
            <w:r>
              <w:rPr>
                <w:noProof w:val="0"/>
              </w:rPr>
              <w:t>Las valoraciones se realizan diariamente de acuerdo con los principios de valoración relevantes descritos en este Prospecto y se aplica un margen a las operaciones de garantía, de modo que, dependiendo de la combinación de valores en préstamo y el tipo de garantía recibida, el valor de las garantías requeridas oscilará entre el 102% y el 110% del valor de los valores en préstamo.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329</w:t>
              <w:br/>
            </w:r>
            <w:r>
              <w:rPr>
                <w:noProof/>
                <w:sz w:val="2"/>
              </w:rPr>
              <w:t>f8a1d24e-6fba-4369-9885-a193ad0c225f</w:t>
            </w:r>
          </w:p>
        </w:tc>
        <w:tc>
          <w:tcPr>
            <w:tcW w:w="360" w:type="dxa"/>
            <w:shd w:val="clear" w:color="auto" w:fill="F2F2F2"/>
          </w:tcPr>
          <w:p w:rsidR="00A77B3E">
            <w:pPr>
              <w:pStyle w:val="mqeng"/>
              <w:jc w:val="left"/>
            </w:pPr>
            <w:r>
              <w:rPr>
                <w:noProof/>
              </w:rPr>
              <w:t>The collateral is marked to market daily to maintain the 102% to 110% excess collateral to act as insurance for volatile market conditions.</w:t>
            </w:r>
          </w:p>
        </w:tc>
        <w:tc>
          <w:tcPr>
            <w:tcW w:w="360" w:type="dxa"/>
            <w:shd w:val="clear" w:color="auto" w:fill="auto"/>
          </w:tcPr>
          <w:p w:rsidR="00A77B3E">
            <w:pPr>
              <w:pStyle w:val="mqspa"/>
              <w:jc w:val="left"/>
            </w:pPr>
            <w:r>
              <w:rPr>
                <w:noProof w:val="0"/>
              </w:rPr>
              <w:t>La garantía se marca como valor de mercado diariamente para mantener el 102% al 110% de garantía adicional que actúa como seguro para condiciones de mercado volátiles.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330</w:t>
              <w:br/>
            </w:r>
            <w:r>
              <w:rPr>
                <w:noProof/>
                <w:sz w:val="2"/>
              </w:rPr>
              <w:t>9a2ea3b4-9237-4eb1-9b8f-203287c4bdf7</w:t>
            </w:r>
          </w:p>
        </w:tc>
        <w:tc>
          <w:tcPr>
            <w:tcW w:w="360" w:type="dxa"/>
            <w:shd w:val="clear" w:color="auto" w:fill="F2F2F2"/>
          </w:tcPr>
          <w:p w:rsidR="00A77B3E">
            <w:pPr>
              <w:pStyle w:val="mqeng"/>
              <w:jc w:val="left"/>
            </w:pPr>
            <w:r>
              <w:rPr>
                <w:noProof/>
              </w:rPr>
              <w:t>Collateral is subject to a haircut on a sliding scale based on the combination of the underlying instrument being lent versus the asset being received as collateral.</w:t>
            </w:r>
          </w:p>
        </w:tc>
        <w:tc>
          <w:tcPr>
            <w:tcW w:w="360" w:type="dxa"/>
            <w:shd w:val="clear" w:color="auto" w:fill="auto"/>
          </w:tcPr>
          <w:p w:rsidR="00A77B3E">
            <w:pPr>
              <w:pStyle w:val="mqspa"/>
              <w:jc w:val="left"/>
            </w:pPr>
            <w:r>
              <w:rPr>
                <w:noProof w:val="0"/>
              </w:rPr>
              <w:t>La garantía está sujeta a un descuento en una escala móvil basado en la combinación del instrumento subyacente que se presta frente al activo que se recibe como garantía.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331</w:t>
              <w:br/>
            </w:r>
            <w:r>
              <w:rPr>
                <w:noProof/>
                <w:sz w:val="2"/>
              </w:rPr>
              <w:t>7f03de07-80ab-4958-80c9-b7fc41523613</w:t>
            </w:r>
          </w:p>
        </w:tc>
        <w:tc>
          <w:tcPr>
            <w:tcW w:w="360" w:type="dxa"/>
            <w:shd w:val="clear" w:color="auto" w:fill="F2F2F2"/>
          </w:tcPr>
          <w:p w:rsidR="00A77B3E">
            <w:pPr>
              <w:pStyle w:val="mqeng"/>
              <w:jc w:val="left"/>
            </w:pPr>
            <w:r>
              <w:rPr>
                <w:noProof/>
              </w:rPr>
              <w:t>The Fund reserves the right to vary this policy at any time in which case this Prospectus will be updated accordingly.</w:t>
            </w:r>
          </w:p>
        </w:tc>
        <w:tc>
          <w:tcPr>
            <w:tcW w:w="360" w:type="dxa"/>
            <w:shd w:val="clear" w:color="auto" w:fill="auto"/>
          </w:tcPr>
          <w:p w:rsidR="00A77B3E">
            <w:pPr>
              <w:pStyle w:val="mqspa"/>
              <w:jc w:val="left"/>
            </w:pPr>
            <w:r>
              <w:rPr>
                <w:noProof w:val="0"/>
              </w:rPr>
              <w:t>El Fondo se reserva el derecho de modificar esta Política en cualquier momento, en cuyo caso este Folleto informativo se actualizará en consecuencia.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332</w:t>
              <w:br/>
            </w:r>
            <w:r>
              <w:rPr>
                <w:noProof/>
                <w:sz w:val="2"/>
              </w:rPr>
              <w:t>9461f8df-9306-4313-ba1e-0ad50ea8ba39</w:t>
            </w:r>
          </w:p>
        </w:tc>
        <w:tc>
          <w:tcPr>
            <w:tcW w:w="360" w:type="dxa"/>
            <w:shd w:val="clear" w:color="auto" w:fill="F2F2F2"/>
          </w:tcPr>
          <w:p w:rsidR="00A77B3E">
            <w:pPr>
              <w:pStyle w:val="mqeng"/>
              <w:jc w:val="left"/>
            </w:pPr>
            <w:r>
              <w:rPr>
                <w:rStyle w:val="mqInternal"/>
                <w:b w:val="0"/>
                <w:i w:val="0"/>
                <w:noProof/>
                <w:u w:val="none"/>
                <w:vertAlign w:val="baseline"/>
              </w:rPr>
              <w:t>[1}</w:t>
            </w:r>
            <w:r>
              <w:rPr>
                <w:noProof/>
              </w:rPr>
              <w:t>Reverse repurchase transactions entered into in the context of reinvestment of cash collateral are collateralised between 102% to 110%, depending on the underlying securities.</w:t>
            </w:r>
          </w:p>
        </w:tc>
        <w:tc>
          <w:tcPr>
            <w:tcW w:w="360" w:type="dxa"/>
            <w:shd w:val="clear" w:color="auto" w:fill="auto"/>
          </w:tcPr>
          <w:p w:rsidR="00A77B3E">
            <w:pPr>
              <w:pStyle w:val="mqspa"/>
              <w:jc w:val="left"/>
            </w:pPr>
            <w:r>
              <w:rPr>
                <w:noProof w:val="0"/>
              </w:rPr>
              <w:t xml:space="preserve">Las transacciones de recompra </w:t>
            </w:r>
            <w:r>
              <w:rPr>
                <w:rStyle w:val="mqInternal"/>
                <w:b w:val="0"/>
                <w:i w:val="0"/>
                <w:noProof/>
                <w:u w:val="none"/>
                <w:vertAlign w:val="baseline"/>
              </w:rPr>
              <w:t>[1}</w:t>
            </w:r>
            <w:r>
              <w:rPr>
                <w:noProof w:val="0"/>
              </w:rPr>
              <w:t>inversa realizadas en el contexto de la reinversión de garantías en efectivo están colateralizadas entre el 102% y el 110%, dependiendo de los Securities and subyacentes.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333</w:t>
              <w:br/>
            </w:r>
            <w:r>
              <w:rPr>
                <w:noProof/>
                <w:sz w:val="2"/>
              </w:rPr>
              <w:t>9b4e8436-2c8c-4c24-ab65-1203277995cc</w:t>
            </w:r>
          </w:p>
        </w:tc>
        <w:tc>
          <w:tcPr>
            <w:tcW w:w="360" w:type="dxa"/>
            <w:shd w:val="clear" w:color="auto" w:fill="F2F2F2"/>
          </w:tcPr>
          <w:p w:rsidR="00A77B3E">
            <w:pPr>
              <w:pStyle w:val="mqeng"/>
              <w:jc w:val="left"/>
            </w:pPr>
            <w:r>
              <w:rPr>
                <w:noProof/>
              </w:rPr>
              <w:t>The pricing for collateral is performed by the tri-party agent chosen by the Securities Lending Agent and are revalued daily.</w:t>
            </w:r>
          </w:p>
        </w:tc>
        <w:tc>
          <w:tcPr>
            <w:tcW w:w="360" w:type="dxa"/>
            <w:shd w:val="clear" w:color="auto" w:fill="auto"/>
          </w:tcPr>
          <w:p w:rsidR="00A77B3E">
            <w:pPr>
              <w:pStyle w:val="mqspa"/>
              <w:jc w:val="left"/>
            </w:pPr>
            <w:r>
              <w:rPr>
                <w:noProof w:val="0"/>
              </w:rPr>
              <w:t>El precio diario de la garantía es realizado por el agente de préstamo de valores elegido por el Agente de Préstamo de Valores y se revalúa diariamente.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334</w:t>
              <w:br/>
            </w:r>
            <w:r>
              <w:rPr>
                <w:noProof/>
                <w:sz w:val="2"/>
              </w:rPr>
              <w:t>0afba10d-f83d-418a-991b-870d7d2382e5</w:t>
            </w:r>
          </w:p>
        </w:tc>
        <w:tc>
          <w:tcPr>
            <w:tcW w:w="360" w:type="dxa"/>
            <w:shd w:val="clear" w:color="auto" w:fill="F2F2F2"/>
          </w:tcPr>
          <w:p w:rsidR="00A77B3E">
            <w:pPr>
              <w:pStyle w:val="mqeng"/>
              <w:jc w:val="left"/>
            </w:pPr>
            <w:r>
              <w:rPr>
                <w:noProof/>
              </w:rPr>
              <w:t>The daily price calculation will determine the amount of collateral required to be received / delivered from the counterparty for that day.</w:t>
            </w:r>
          </w:p>
        </w:tc>
        <w:tc>
          <w:tcPr>
            <w:tcW w:w="360" w:type="dxa"/>
            <w:shd w:val="clear" w:color="auto" w:fill="auto"/>
          </w:tcPr>
          <w:p w:rsidR="00A77B3E">
            <w:pPr>
              <w:pStyle w:val="mqspa"/>
              <w:jc w:val="left"/>
            </w:pPr>
            <w:r>
              <w:rPr>
                <w:noProof w:val="0"/>
              </w:rPr>
              <w:t>El cálculo del precio diario determinará el importe de la garantía que se debe recibir / entregar de la contraparte de ese día.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335</w:t>
              <w:br/>
            </w:r>
            <w:r>
              <w:rPr>
                <w:noProof/>
                <w:sz w:val="2"/>
              </w:rPr>
              <w:t>d497293c-a340-46f9-9beb-ae4ee73bde6b</w:t>
            </w:r>
          </w:p>
        </w:tc>
        <w:tc>
          <w:tcPr>
            <w:tcW w:w="360" w:type="dxa"/>
            <w:shd w:val="clear" w:color="auto" w:fill="F2F2F2"/>
          </w:tcPr>
          <w:p w:rsidR="00A77B3E">
            <w:pPr>
              <w:pStyle w:val="mqeng"/>
              <w:jc w:val="left"/>
            </w:pPr>
            <w:r>
              <w:rPr>
                <w:noProof/>
              </w:rPr>
              <w:t>The collateral delivery / receipt is initiated and managed by the tri-party agent.</w:t>
            </w:r>
            <w:r>
              <w:rPr>
                <w:rStyle w:val="mqInternal"/>
                <w:b w:val="0"/>
                <w:i w:val="0"/>
                <w:noProof/>
                <w:u w:val="none"/>
                <w:vertAlign w:val="baseline"/>
              </w:rPr>
              <w:t>{1]</w:t>
            </w:r>
          </w:p>
        </w:tc>
        <w:tc>
          <w:tcPr>
            <w:tcW w:w="360" w:type="dxa"/>
            <w:shd w:val="clear" w:color="auto" w:fill="auto"/>
          </w:tcPr>
          <w:p w:rsidR="00A77B3E">
            <w:pPr>
              <w:pStyle w:val="mqspa"/>
              <w:jc w:val="left"/>
            </w:pPr>
            <w:r>
              <w:rPr>
                <w:noProof w:val="0"/>
              </w:rPr>
              <w:t>La entrega de garantías / envío es iniciada y gestionada por el agente tripartado.</w:t>
            </w:r>
            <w:r>
              <w:rPr>
                <w:rStyle w:val="mqInternal"/>
                <w:b w:val="0"/>
                <w:i w:val="0"/>
                <w:noProof/>
                <w:u w:val="none"/>
                <w:vertAlign w:val="baseline"/>
              </w:rPr>
              <w:t>{1]</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336</w:t>
              <w:br/>
            </w:r>
            <w:r>
              <w:rPr>
                <w:noProof/>
                <w:sz w:val="2"/>
              </w:rPr>
              <w:t>d763f09e-89f5-48bf-9a55-ea908423fb43</w:t>
            </w:r>
          </w:p>
        </w:tc>
        <w:tc>
          <w:tcPr>
            <w:tcW w:w="360" w:type="dxa"/>
            <w:shd w:val="clear" w:color="auto" w:fill="F2F2F2"/>
          </w:tcPr>
          <w:p w:rsidR="00A77B3E">
            <w:pPr>
              <w:pStyle w:val="mqeng"/>
              <w:jc w:val="left"/>
            </w:pPr>
            <w:r>
              <w:rPr>
                <w:b/>
                <w:i w:val="0"/>
                <w:noProof/>
                <w:u w:val="single"/>
                <w:vertAlign w:val="baseline"/>
              </w:rPr>
              <w:t>Collateral Policy for OTC Derivatives (including Total Return Swaps)</w:t>
            </w:r>
          </w:p>
        </w:tc>
        <w:tc>
          <w:tcPr>
            <w:tcW w:w="360" w:type="dxa"/>
            <w:shd w:val="clear" w:color="auto" w:fill="auto"/>
          </w:tcPr>
          <w:p w:rsidR="00A77B3E">
            <w:pPr>
              <w:pStyle w:val="mqspa"/>
              <w:jc w:val="left"/>
            </w:pPr>
            <w:r>
              <w:rPr>
                <w:b/>
                <w:i w:val="0"/>
                <w:noProof w:val="0"/>
                <w:u w:val="single"/>
                <w:vertAlign w:val="baseline"/>
              </w:rPr>
              <w:t>Política de garantía para Derivados OTC (incluidos swaps de rentabilidad total)</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337</w:t>
              <w:br/>
            </w:r>
            <w:r>
              <w:rPr>
                <w:noProof/>
                <w:sz w:val="2"/>
              </w:rPr>
              <w:t>76cc050d-d798-4e16-8177-ce44dca2dcdf</w:t>
            </w:r>
          </w:p>
        </w:tc>
        <w:tc>
          <w:tcPr>
            <w:tcW w:w="360" w:type="dxa"/>
            <w:shd w:val="clear" w:color="auto" w:fill="F2F2F2"/>
          </w:tcPr>
          <w:p w:rsidR="00A77B3E">
            <w:pPr>
              <w:pStyle w:val="mqeng"/>
              <w:jc w:val="left"/>
            </w:pPr>
            <w:r>
              <w:rPr>
                <w:b/>
                <w:i w:val="0"/>
                <w:noProof/>
                <w:u w:val="none"/>
                <w:vertAlign w:val="baseline"/>
              </w:rPr>
              <w:t>Eligible Collateral</w:t>
            </w:r>
          </w:p>
        </w:tc>
        <w:tc>
          <w:tcPr>
            <w:tcW w:w="360" w:type="dxa"/>
            <w:shd w:val="clear" w:color="auto" w:fill="auto"/>
          </w:tcPr>
          <w:p w:rsidR="00A77B3E">
            <w:pPr>
              <w:pStyle w:val="mqspa"/>
              <w:jc w:val="left"/>
            </w:pPr>
            <w:r>
              <w:rPr>
                <w:b/>
                <w:i w:val="0"/>
                <w:noProof w:val="0"/>
                <w:u w:val="none"/>
                <w:vertAlign w:val="baseline"/>
              </w:rPr>
              <w:t>Garantías admisibles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338</w:t>
              <w:br/>
            </w:r>
            <w:r>
              <w:rPr>
                <w:noProof/>
                <w:sz w:val="2"/>
              </w:rPr>
              <w:t>ec0f26eb-5a8e-4dcb-8131-d63c93d82082</w:t>
            </w:r>
          </w:p>
        </w:tc>
        <w:tc>
          <w:tcPr>
            <w:tcW w:w="360" w:type="dxa"/>
            <w:shd w:val="clear" w:color="auto" w:fill="F2F2F2"/>
          </w:tcPr>
          <w:p w:rsidR="00A77B3E">
            <w:pPr>
              <w:pStyle w:val="mqeng"/>
              <w:jc w:val="left"/>
            </w:pPr>
            <w:r>
              <w:rPr>
                <w:noProof/>
              </w:rPr>
              <w:t>Eligible collateral types for OTC derivative trading are approved by the Investment Manager and are set out in the respective International Swap Dealers Association (“ISDA”) credit support annexes (CSAs).</w:t>
            </w:r>
          </w:p>
        </w:tc>
        <w:tc>
          <w:tcPr>
            <w:tcW w:w="360" w:type="dxa"/>
            <w:shd w:val="clear" w:color="auto" w:fill="auto"/>
          </w:tcPr>
          <w:p w:rsidR="00A77B3E">
            <w:pPr>
              <w:pStyle w:val="mqspa"/>
              <w:jc w:val="left"/>
            </w:pPr>
            <w:r>
              <w:rPr>
                <w:noProof w:val="0"/>
              </w:rPr>
              <w:t>Los tipos de garantías admisibles para las operaciones con derivados extrabursátiles son aprobados por el Gestor de inversiones y se establecen en los respectivos anexos de crédito de la International Swap.</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339</w:t>
              <w:br/>
            </w:r>
            <w:r>
              <w:rPr>
                <w:noProof/>
                <w:sz w:val="2"/>
              </w:rPr>
              <w:t>dd8f131c-fcb9-4f5c-97e0-cf30409ede76</w:t>
            </w:r>
          </w:p>
        </w:tc>
        <w:tc>
          <w:tcPr>
            <w:tcW w:w="360" w:type="dxa"/>
            <w:shd w:val="clear" w:color="auto" w:fill="F2F2F2"/>
          </w:tcPr>
          <w:p w:rsidR="00A77B3E">
            <w:pPr>
              <w:pStyle w:val="mqeng"/>
              <w:jc w:val="left"/>
            </w:pPr>
            <w:r>
              <w:rPr>
                <w:noProof/>
              </w:rPr>
              <w:t>Eligible collateral (other than highly liquid cash) consists of UK gilts, US Treasuries and negotiable debt obligations of a range of Eurozone countries, generally subject to a minimum Fitch, Moody’s or S&amp;P rating of AA-/Aa3.</w:t>
            </w:r>
          </w:p>
        </w:tc>
        <w:tc>
          <w:tcPr>
            <w:tcW w:w="360" w:type="dxa"/>
            <w:shd w:val="clear" w:color="auto" w:fill="auto"/>
          </w:tcPr>
          <w:p w:rsidR="00A77B3E">
            <w:pPr>
              <w:pStyle w:val="mqspa"/>
              <w:jc w:val="left"/>
            </w:pPr>
            <w:r>
              <w:rPr>
                <w:noProof w:val="0"/>
              </w:rPr>
              <w:t>Las garantías admisibles (excepto el efectivo altamente líquido) consisten en bonos del Reino Unido, bonos del Tesoro estadounidense y obligaciones de deuda negociables de una variedad de países de la zona euro, generalmente sujetas a un mínimo de Fitch, Moody’s o S&amp;P de calificación AA-/Aa3.</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340</w:t>
              <w:br/>
            </w:r>
            <w:r>
              <w:rPr>
                <w:noProof/>
                <w:sz w:val="2"/>
              </w:rPr>
              <w:t>89a93ade-ec60-4c81-a894-44264a4f6a76</w:t>
            </w:r>
          </w:p>
        </w:tc>
        <w:tc>
          <w:tcPr>
            <w:tcW w:w="360" w:type="dxa"/>
            <w:shd w:val="clear" w:color="auto" w:fill="F2F2F2"/>
          </w:tcPr>
          <w:p w:rsidR="00A77B3E">
            <w:pPr>
              <w:pStyle w:val="mqeng"/>
              <w:jc w:val="left"/>
            </w:pPr>
            <w:r>
              <w:rPr>
                <w:b/>
                <w:i w:val="0"/>
                <w:noProof/>
                <w:u w:val="none"/>
                <w:vertAlign w:val="baseline"/>
              </w:rPr>
              <w:t>Issuer Credit Quality</w:t>
            </w:r>
          </w:p>
        </w:tc>
        <w:tc>
          <w:tcPr>
            <w:tcW w:w="360" w:type="dxa"/>
            <w:shd w:val="clear" w:color="auto" w:fill="auto"/>
          </w:tcPr>
          <w:p w:rsidR="00A77B3E">
            <w:pPr>
              <w:pStyle w:val="mqspa"/>
              <w:jc w:val="left"/>
            </w:pPr>
            <w:r>
              <w:rPr>
                <w:b/>
                <w:i w:val="0"/>
                <w:noProof w:val="0"/>
                <w:u w:val="none"/>
                <w:vertAlign w:val="baseline"/>
              </w:rPr>
              <w:t>Calidad crediticia del emisor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341</w:t>
              <w:br/>
            </w:r>
            <w:r>
              <w:rPr>
                <w:noProof/>
                <w:sz w:val="2"/>
              </w:rPr>
              <w:t>ef51253b-419d-4a02-9a51-5b0f9ae28423</w:t>
            </w:r>
          </w:p>
        </w:tc>
        <w:tc>
          <w:tcPr>
            <w:tcW w:w="360" w:type="dxa"/>
            <w:shd w:val="clear" w:color="auto" w:fill="F2F2F2"/>
          </w:tcPr>
          <w:p w:rsidR="00A77B3E">
            <w:pPr>
              <w:pStyle w:val="mqeng"/>
              <w:jc w:val="left"/>
            </w:pPr>
            <w:r>
              <w:rPr>
                <w:noProof/>
              </w:rPr>
              <w:t>Collateral received will be of high quality.</w:t>
            </w:r>
          </w:p>
        </w:tc>
        <w:tc>
          <w:tcPr>
            <w:tcW w:w="360" w:type="dxa"/>
            <w:shd w:val="clear" w:color="auto" w:fill="auto"/>
          </w:tcPr>
          <w:p w:rsidR="00A77B3E">
            <w:pPr>
              <w:pStyle w:val="mqspa"/>
              <w:jc w:val="left"/>
            </w:pPr>
            <w:r>
              <w:rPr>
                <w:noProof w:val="0"/>
              </w:rPr>
              <w:t>La garantía recibida será de alta calidad.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342</w:t>
              <w:br/>
            </w:r>
            <w:r>
              <w:rPr>
                <w:noProof/>
                <w:sz w:val="2"/>
              </w:rPr>
              <w:t>c80bb9c9-33ca-46b2-a43b-d44ea895c8af</w:t>
            </w:r>
          </w:p>
        </w:tc>
        <w:tc>
          <w:tcPr>
            <w:tcW w:w="360" w:type="dxa"/>
            <w:shd w:val="clear" w:color="auto" w:fill="F2F2F2"/>
          </w:tcPr>
          <w:p w:rsidR="00A77B3E">
            <w:pPr>
              <w:pStyle w:val="mqeng"/>
              <w:jc w:val="left"/>
            </w:pPr>
            <w:r>
              <w:rPr>
                <w:b/>
                <w:i w:val="0"/>
                <w:noProof/>
                <w:u w:val="none"/>
                <w:vertAlign w:val="baseline"/>
              </w:rPr>
              <w:t>Reuse and Reinvestment of Collateral</w:t>
            </w:r>
          </w:p>
        </w:tc>
        <w:tc>
          <w:tcPr>
            <w:tcW w:w="360" w:type="dxa"/>
            <w:shd w:val="clear" w:color="auto" w:fill="auto"/>
          </w:tcPr>
          <w:p w:rsidR="00A77B3E">
            <w:pPr>
              <w:pStyle w:val="mqspa"/>
              <w:jc w:val="left"/>
            </w:pPr>
            <w:r>
              <w:rPr>
                <w:b/>
                <w:i w:val="0"/>
                <w:noProof w:val="0"/>
                <w:u w:val="none"/>
                <w:vertAlign w:val="baseline"/>
              </w:rPr>
              <w:t>Reutilización y reinversión de garantías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343</w:t>
              <w:br/>
            </w:r>
            <w:r>
              <w:rPr>
                <w:noProof/>
                <w:sz w:val="2"/>
              </w:rPr>
              <w:t>8b15ff07-8191-4115-9e93-80c9e41cbf23</w:t>
            </w:r>
          </w:p>
        </w:tc>
        <w:tc>
          <w:tcPr>
            <w:tcW w:w="360" w:type="dxa"/>
            <w:shd w:val="clear" w:color="auto" w:fill="F2F2F2"/>
          </w:tcPr>
          <w:p w:rsidR="00A77B3E">
            <w:pPr>
              <w:pStyle w:val="mqeng"/>
              <w:jc w:val="left"/>
            </w:pPr>
            <w:r>
              <w:rPr>
                <w:noProof/>
              </w:rPr>
              <w:t>Non-cash</w:t>
            </w:r>
            <w:r>
              <w:rPr>
                <w:rStyle w:val="mqInternal"/>
                <w:b w:val="0"/>
                <w:i w:val="0"/>
                <w:noProof/>
                <w:u w:val="none"/>
                <w:vertAlign w:val="baseline"/>
              </w:rPr>
              <w:t>[1}</w:t>
            </w:r>
            <w:r>
              <w:rPr>
                <w:noProof/>
              </w:rPr>
              <w:t xml:space="preserve"> collateral received will </w:t>
            </w:r>
            <w:r>
              <w:rPr>
                <w:rStyle w:val="mqInternal"/>
                <w:b w:val="0"/>
                <w:i w:val="0"/>
                <w:noProof/>
                <w:u w:val="none"/>
                <w:vertAlign w:val="baseline"/>
              </w:rPr>
              <w:t>{2]</w:t>
            </w:r>
            <w:r>
              <w:rPr>
                <w:noProof/>
              </w:rPr>
              <w:t xml:space="preserve">not </w:t>
            </w:r>
            <w:r>
              <w:rPr>
                <w:rStyle w:val="mqInternal"/>
                <w:b w:val="0"/>
                <w:i w:val="0"/>
                <w:noProof/>
                <w:u w:val="none"/>
                <w:vertAlign w:val="baseline"/>
              </w:rPr>
              <w:t>[3}</w:t>
            </w:r>
            <w:r>
              <w:rPr>
                <w:noProof/>
              </w:rPr>
              <w:t xml:space="preserve">be </w:t>
            </w:r>
            <w:r>
              <w:rPr>
                <w:rStyle w:val="mqInternal"/>
                <w:b w:val="0"/>
                <w:i w:val="0"/>
                <w:noProof/>
                <w:u w:val="none"/>
                <w:vertAlign w:val="baseline"/>
              </w:rPr>
              <w:t>{4]</w:t>
            </w:r>
            <w:r>
              <w:rPr>
                <w:noProof/>
              </w:rPr>
              <w:t>sold, re-invested or pledged.</w:t>
            </w:r>
          </w:p>
        </w:tc>
        <w:tc>
          <w:tcPr>
            <w:tcW w:w="360" w:type="dxa"/>
            <w:shd w:val="clear" w:color="auto" w:fill="auto"/>
          </w:tcPr>
          <w:p w:rsidR="00A77B3E">
            <w:pPr>
              <w:pStyle w:val="mqspa"/>
              <w:jc w:val="left"/>
            </w:pPr>
            <w:r>
              <w:rPr>
                <w:rStyle w:val="mqInternal"/>
                <w:b w:val="0"/>
                <w:i w:val="0"/>
                <w:noProof/>
                <w:u w:val="none"/>
                <w:vertAlign w:val="baseline"/>
              </w:rPr>
              <w:t>[1}</w:t>
            </w:r>
            <w:r>
              <w:rPr>
                <w:noProof w:val="0"/>
              </w:rPr>
              <w:t xml:space="preserve"> Las garantías no dinerarias recibidas no </w:t>
            </w:r>
            <w:r>
              <w:rPr>
                <w:rStyle w:val="mqInternal"/>
                <w:b w:val="0"/>
                <w:i w:val="0"/>
                <w:noProof/>
                <w:u w:val="none"/>
                <w:vertAlign w:val="baseline"/>
              </w:rPr>
              <w:t>[3}</w:t>
            </w:r>
            <w:r>
              <w:rPr>
                <w:noProof w:val="0"/>
              </w:rPr>
              <w:t xml:space="preserve">se </w:t>
            </w:r>
            <w:r>
              <w:rPr>
                <w:rStyle w:val="mqInternal"/>
                <w:b w:val="0"/>
                <w:i w:val="0"/>
                <w:noProof/>
                <w:u w:val="none"/>
                <w:vertAlign w:val="baseline"/>
              </w:rPr>
              <w:t>{2]</w:t>
            </w:r>
            <w:r>
              <w:rPr>
                <w:noProof w:val="0"/>
              </w:rPr>
              <w:t xml:space="preserve"> </w:t>
            </w:r>
            <w:r>
              <w:rPr>
                <w:rStyle w:val="mqInternal"/>
                <w:b w:val="0"/>
                <w:i w:val="0"/>
                <w:noProof/>
                <w:u w:val="none"/>
                <w:vertAlign w:val="baseline"/>
              </w:rPr>
              <w:t>{4]</w:t>
            </w:r>
            <w:r>
              <w:rPr>
                <w:noProof w:val="0"/>
              </w:rPr>
              <w:t>venderán, reinvertirán ni pignorarán.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344</w:t>
              <w:br/>
            </w:r>
            <w:r>
              <w:rPr>
                <w:noProof/>
                <w:sz w:val="2"/>
              </w:rPr>
              <w:t>6192d7bd-cc01-4b83-be42-e124fc3e10a8</w:t>
            </w:r>
          </w:p>
        </w:tc>
        <w:tc>
          <w:tcPr>
            <w:tcW w:w="360" w:type="dxa"/>
            <w:shd w:val="clear" w:color="auto" w:fill="F2F2F2"/>
          </w:tcPr>
          <w:p w:rsidR="00A77B3E">
            <w:pPr>
              <w:pStyle w:val="mqeng"/>
              <w:jc w:val="left"/>
            </w:pPr>
            <w:r>
              <w:rPr>
                <w:noProof/>
              </w:rPr>
              <w:t>Cash collateral received may only be reinvested in the following ways:</w:t>
            </w:r>
          </w:p>
        </w:tc>
        <w:tc>
          <w:tcPr>
            <w:tcW w:w="360" w:type="dxa"/>
            <w:shd w:val="clear" w:color="auto" w:fill="auto"/>
          </w:tcPr>
          <w:p w:rsidR="00A77B3E">
            <w:pPr>
              <w:pStyle w:val="mqspa"/>
              <w:jc w:val="left"/>
            </w:pPr>
            <w:r>
              <w:rPr>
                <w:noProof w:val="0"/>
              </w:rPr>
              <w:t>Las garantías dinerarias recibidas únicamente podrán reinvertirse de las maneras siguientes: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345</w:t>
              <w:br/>
            </w:r>
            <w:r>
              <w:rPr>
                <w:noProof/>
                <w:sz w:val="2"/>
              </w:rPr>
              <w:t>d0ca1abf-7249-4d20-ac5e-fabd9e557a1d</w:t>
            </w:r>
          </w:p>
        </w:tc>
        <w:tc>
          <w:tcPr>
            <w:tcW w:w="360" w:type="dxa"/>
            <w:shd w:val="clear" w:color="auto" w:fill="F2F2F2"/>
          </w:tcPr>
          <w:p w:rsidR="00A77B3E">
            <w:pPr>
              <w:pStyle w:val="mqeng"/>
              <w:jc w:val="left"/>
            </w:pPr>
            <w:r>
              <w:rPr>
                <w:noProof/>
              </w:rPr>
              <w:t>placed on deposit with entities prescribed in Article 50(f) of the UCITS Directive, as may be amended</w:t>
            </w:r>
            <w:r>
              <w:rPr>
                <w:rStyle w:val="mqInternal"/>
                <w:b w:val="0"/>
                <w:i w:val="0"/>
                <w:noProof/>
                <w:u w:val="none"/>
                <w:vertAlign w:val="baseline"/>
              </w:rPr>
              <w:t>[1}</w:t>
            </w:r>
            <w:r>
              <w:rPr>
                <w:noProof/>
              </w:rPr>
              <w:t xml:space="preserve"> from </w:t>
            </w:r>
            <w:r>
              <w:rPr>
                <w:rStyle w:val="mqInternal"/>
                <w:b w:val="0"/>
                <w:i w:val="0"/>
                <w:noProof/>
                <w:u w:val="none"/>
                <w:vertAlign w:val="baseline"/>
              </w:rPr>
              <w:t>{2]</w:t>
            </w:r>
            <w:r>
              <w:rPr>
                <w:noProof/>
              </w:rPr>
              <w:t xml:space="preserve">time </w:t>
            </w:r>
            <w:r>
              <w:rPr>
                <w:rStyle w:val="mqInternal"/>
                <w:b w:val="0"/>
                <w:i w:val="0"/>
                <w:noProof/>
                <w:u w:val="none"/>
                <w:vertAlign w:val="baseline"/>
              </w:rPr>
              <w:t>[3}</w:t>
            </w:r>
            <w:r>
              <w:rPr>
                <w:noProof/>
              </w:rPr>
              <w:t xml:space="preserve">to </w:t>
            </w:r>
            <w:r>
              <w:rPr>
                <w:rStyle w:val="mqInternal"/>
                <w:b w:val="0"/>
                <w:i w:val="0"/>
                <w:noProof/>
                <w:u w:val="none"/>
                <w:vertAlign w:val="baseline"/>
              </w:rPr>
              <w:t>{4]</w:t>
            </w:r>
            <w:r>
              <w:rPr>
                <w:noProof/>
              </w:rPr>
              <w:t>time; or</w:t>
            </w:r>
          </w:p>
        </w:tc>
        <w:tc>
          <w:tcPr>
            <w:tcW w:w="360" w:type="dxa"/>
            <w:shd w:val="clear" w:color="auto" w:fill="auto"/>
          </w:tcPr>
          <w:p w:rsidR="00A77B3E">
            <w:pPr>
              <w:pStyle w:val="mqspa"/>
              <w:jc w:val="left"/>
            </w:pPr>
            <w:r>
              <w:rPr>
                <w:noProof w:val="0"/>
              </w:rPr>
              <w:t>mantenerse en depósito con las entidades estipuladas en el Artículo 50(f) de la Directiva UCITS, según se pueda</w:t>
            </w:r>
            <w:r>
              <w:rPr>
                <w:rStyle w:val="mqInternal"/>
                <w:b w:val="0"/>
                <w:i w:val="0"/>
                <w:noProof/>
                <w:u w:val="none"/>
                <w:vertAlign w:val="baseline"/>
              </w:rPr>
              <w:t>[1}</w:t>
            </w:r>
            <w:r>
              <w:rPr>
                <w:noProof w:val="0"/>
              </w:rPr>
              <w:t xml:space="preserve"> modificar de </w:t>
            </w:r>
            <w:r>
              <w:rPr>
                <w:rStyle w:val="mqInternal"/>
                <w:b w:val="0"/>
                <w:i w:val="0"/>
                <w:noProof/>
                <w:u w:val="none"/>
                <w:vertAlign w:val="baseline"/>
              </w:rPr>
              <w:t>{2]</w:t>
            </w:r>
            <w:r>
              <w:rPr>
                <w:noProof w:val="0"/>
              </w:rPr>
              <w:t xml:space="preserve">vez en cuando; o </w:t>
            </w:r>
            <w:r>
              <w:rPr>
                <w:rStyle w:val="mqInternal"/>
                <w:b w:val="0"/>
                <w:i w:val="0"/>
                <w:noProof/>
                <w:u w:val="none"/>
                <w:vertAlign w:val="baseline"/>
              </w:rPr>
              <w:t>[3}</w:t>
            </w:r>
            <w:r>
              <w:rPr>
                <w:noProof w:val="0"/>
              </w:rPr>
              <w:t xml:space="preserve"> </w:t>
            </w:r>
            <w:r>
              <w:rPr>
                <w:rStyle w:val="mqInternal"/>
                <w:b w:val="0"/>
                <w:i w:val="0"/>
                <w:noProof/>
                <w:u w:val="none"/>
                <w:vertAlign w:val="baseline"/>
              </w:rPr>
              <w:t>{4]</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346</w:t>
              <w:br/>
            </w:r>
            <w:r>
              <w:rPr>
                <w:noProof/>
                <w:sz w:val="2"/>
              </w:rPr>
              <w:t>2026fa16-48d6-41bf-94d4-59ef15435fc9</w:t>
            </w:r>
          </w:p>
        </w:tc>
        <w:tc>
          <w:tcPr>
            <w:tcW w:w="360" w:type="dxa"/>
            <w:shd w:val="clear" w:color="auto" w:fill="F2F2F2"/>
          </w:tcPr>
          <w:p w:rsidR="00A77B3E">
            <w:pPr>
              <w:pStyle w:val="mqeng"/>
              <w:jc w:val="left"/>
            </w:pPr>
            <w:r>
              <w:rPr>
                <w:noProof/>
              </w:rPr>
              <w:t>invested in</w:t>
            </w:r>
            <w:r>
              <w:rPr>
                <w:rStyle w:val="mqInternal"/>
                <w:b w:val="0"/>
                <w:i w:val="0"/>
                <w:noProof/>
                <w:u w:val="none"/>
                <w:vertAlign w:val="baseline"/>
              </w:rPr>
              <w:t>[1}</w:t>
            </w:r>
            <w:r>
              <w:rPr>
                <w:noProof/>
              </w:rPr>
              <w:t xml:space="preserve"> high</w:t>
            </w:r>
            <w:r>
              <w:rPr>
                <w:rStyle w:val="mqInternal"/>
                <w:b w:val="0"/>
                <w:i w:val="0"/>
                <w:noProof/>
                <w:u w:val="none"/>
                <w:vertAlign w:val="baseline"/>
              </w:rPr>
              <w:t>{2]</w:t>
            </w:r>
            <w:r>
              <w:rPr>
                <w:noProof/>
              </w:rPr>
              <w:t>-quality government bonds; or</w:t>
            </w:r>
          </w:p>
        </w:tc>
        <w:tc>
          <w:tcPr>
            <w:tcW w:w="360" w:type="dxa"/>
            <w:shd w:val="clear" w:color="auto" w:fill="auto"/>
          </w:tcPr>
          <w:p w:rsidR="00A77B3E">
            <w:pPr>
              <w:pStyle w:val="mqspa"/>
              <w:jc w:val="left"/>
            </w:pPr>
            <w:r>
              <w:rPr>
                <w:noProof w:val="0"/>
              </w:rPr>
              <w:t>invertidas en deuda pública de</w:t>
            </w:r>
            <w:r>
              <w:rPr>
                <w:rStyle w:val="mqInternal"/>
                <w:b w:val="0"/>
                <w:i w:val="0"/>
                <w:noProof/>
                <w:u w:val="none"/>
                <w:vertAlign w:val="baseline"/>
              </w:rPr>
              <w:t>[1}</w:t>
            </w:r>
            <w:r>
              <w:rPr>
                <w:noProof w:val="0"/>
              </w:rPr>
              <w:t xml:space="preserve"> alta</w:t>
            </w:r>
            <w:r>
              <w:rPr>
                <w:rStyle w:val="mqInternal"/>
                <w:b w:val="0"/>
                <w:i w:val="0"/>
                <w:noProof/>
                <w:u w:val="none"/>
                <w:vertAlign w:val="baseline"/>
              </w:rPr>
              <w:t>{2]</w:t>
            </w:r>
            <w:r>
              <w:rPr>
                <w:noProof w:val="0"/>
              </w:rPr>
              <w:t>calidad; 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347</w:t>
              <w:br/>
            </w:r>
            <w:r>
              <w:rPr>
                <w:noProof/>
                <w:sz w:val="2"/>
              </w:rPr>
              <w:t>47571757-fa37-474a-b059-75da1fa8e374</w:t>
            </w:r>
          </w:p>
        </w:tc>
        <w:tc>
          <w:tcPr>
            <w:tcW w:w="360" w:type="dxa"/>
            <w:shd w:val="clear" w:color="auto" w:fill="F2F2F2"/>
          </w:tcPr>
          <w:p w:rsidR="00A77B3E">
            <w:pPr>
              <w:pStyle w:val="mqeng"/>
              <w:jc w:val="left"/>
            </w:pPr>
            <w:r>
              <w:rPr>
                <w:noProof/>
              </w:rPr>
              <w:t xml:space="preserve">invested in short-term money market funds as defined under </w:t>
            </w:r>
            <w:r>
              <w:rPr>
                <w:rStyle w:val="mqInternal"/>
                <w:b w:val="0"/>
                <w:i w:val="0"/>
                <w:noProof/>
                <w:u w:val="none"/>
                <w:vertAlign w:val="baseline"/>
              </w:rPr>
              <w:t>[1}</w:t>
            </w:r>
            <w:r>
              <w:rPr>
                <w:noProof/>
              </w:rPr>
              <w:t xml:space="preserve">the </w:t>
            </w:r>
            <w:r>
              <w:rPr>
                <w:rStyle w:val="mqInternal"/>
                <w:b w:val="0"/>
                <w:i w:val="0"/>
                <w:noProof/>
                <w:u w:val="none"/>
                <w:vertAlign w:val="baseline"/>
              </w:rPr>
              <w:t>{2]</w:t>
            </w:r>
            <w:r>
              <w:rPr>
                <w:noProof/>
              </w:rPr>
              <w:t>ESMA’s Guidelines on a Common Definition of European Money Market Funds, as may be amended from time to time.</w:t>
            </w:r>
          </w:p>
        </w:tc>
        <w:tc>
          <w:tcPr>
            <w:tcW w:w="360" w:type="dxa"/>
            <w:shd w:val="clear" w:color="auto" w:fill="auto"/>
          </w:tcPr>
          <w:p w:rsidR="00A77B3E">
            <w:pPr>
              <w:pStyle w:val="mqspa"/>
              <w:jc w:val="left"/>
            </w:pPr>
            <w:r>
              <w:rPr>
                <w:noProof w:val="0"/>
              </w:rPr>
              <w:t xml:space="preserve">invertidas en fondos del mercado monetario a corto plazo según se definen en </w:t>
            </w:r>
            <w:r>
              <w:rPr>
                <w:rStyle w:val="mqInternal"/>
                <w:b w:val="0"/>
                <w:i w:val="0"/>
                <w:noProof/>
                <w:u w:val="none"/>
                <w:vertAlign w:val="baseline"/>
              </w:rPr>
              <w:t>[1}</w:t>
            </w:r>
            <w:r>
              <w:rPr>
                <w:noProof w:val="0"/>
              </w:rPr>
              <w:t xml:space="preserve">las Directrices de la </w:t>
            </w:r>
            <w:r>
              <w:rPr>
                <w:rStyle w:val="mqInternal"/>
                <w:b w:val="0"/>
                <w:i w:val="0"/>
                <w:noProof/>
                <w:u w:val="none"/>
                <w:vertAlign w:val="baseline"/>
              </w:rPr>
              <w:t>{2]</w:t>
            </w:r>
            <w:r>
              <w:rPr>
                <w:noProof w:val="0"/>
              </w:rPr>
              <w:t>AEVM sobre una definición común de los fondos del mercado monetario europeos, según se pueda modificar de vez en cuando.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348</w:t>
              <w:br/>
            </w:r>
            <w:r>
              <w:rPr>
                <w:noProof/>
                <w:sz w:val="2"/>
              </w:rPr>
              <w:t>996b8265-bed4-4826-83ea-bbb6c574b454</w:t>
            </w:r>
          </w:p>
        </w:tc>
        <w:tc>
          <w:tcPr>
            <w:tcW w:w="360" w:type="dxa"/>
            <w:shd w:val="clear" w:color="auto" w:fill="F2F2F2"/>
          </w:tcPr>
          <w:p w:rsidR="00A77B3E">
            <w:pPr>
              <w:pStyle w:val="mqeng"/>
              <w:jc w:val="left"/>
            </w:pPr>
            <w:r>
              <w:rPr>
                <w:noProof/>
              </w:rPr>
              <w:t>Re-invested</w:t>
            </w:r>
            <w:r>
              <w:rPr>
                <w:rStyle w:val="mqInternal"/>
                <w:b w:val="0"/>
                <w:i w:val="0"/>
                <w:noProof/>
                <w:u w:val="none"/>
                <w:vertAlign w:val="baseline"/>
              </w:rPr>
              <w:t>[1}</w:t>
            </w:r>
            <w:r>
              <w:rPr>
                <w:noProof/>
              </w:rPr>
              <w:t xml:space="preserve"> cash collateral </w:t>
            </w:r>
            <w:r>
              <w:rPr>
                <w:rStyle w:val="mqInternal"/>
                <w:b w:val="0"/>
                <w:i w:val="0"/>
                <w:noProof/>
                <w:u w:val="none"/>
                <w:vertAlign w:val="baseline"/>
              </w:rPr>
              <w:t>{2]</w:t>
            </w:r>
            <w:r>
              <w:rPr>
                <w:noProof/>
              </w:rPr>
              <w:t>we be diversified in accordance with the diversification requirements applicable to non-cash collateral.</w:t>
            </w:r>
          </w:p>
        </w:tc>
        <w:tc>
          <w:tcPr>
            <w:tcW w:w="360" w:type="dxa"/>
            <w:shd w:val="clear" w:color="auto" w:fill="auto"/>
          </w:tcPr>
          <w:p w:rsidR="00A77B3E">
            <w:pPr>
              <w:pStyle w:val="mqspa"/>
              <w:jc w:val="left"/>
            </w:pPr>
            <w:r>
              <w:rPr>
                <w:noProof w:val="0"/>
              </w:rPr>
              <w:t>Las</w:t>
            </w:r>
            <w:r>
              <w:rPr>
                <w:rStyle w:val="mqInternal"/>
                <w:b w:val="0"/>
                <w:i w:val="0"/>
                <w:noProof/>
                <w:u w:val="none"/>
                <w:vertAlign w:val="baseline"/>
              </w:rPr>
              <w:t>[1}</w:t>
            </w:r>
            <w:r>
              <w:rPr>
                <w:noProof w:val="0"/>
              </w:rPr>
              <w:t xml:space="preserve"> garantías dinerarias reinvertidas </w:t>
            </w:r>
            <w:r>
              <w:rPr>
                <w:rStyle w:val="mqInternal"/>
                <w:b w:val="0"/>
                <w:i w:val="0"/>
                <w:noProof/>
                <w:u w:val="none"/>
                <w:vertAlign w:val="baseline"/>
              </w:rPr>
              <w:t>{2]</w:t>
            </w:r>
            <w:r>
              <w:rPr>
                <w:noProof w:val="0"/>
              </w:rPr>
              <w:t>se diversificarán de acuerdo con los requisitos de diversificación aplicables a las garantías no monetarias.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349</w:t>
              <w:br/>
            </w:r>
            <w:r>
              <w:rPr>
                <w:noProof/>
                <w:sz w:val="2"/>
              </w:rPr>
              <w:t>829a0348-24ed-43f6-8930-ea4aae05d0f3</w:t>
            </w:r>
          </w:p>
        </w:tc>
        <w:tc>
          <w:tcPr>
            <w:tcW w:w="360" w:type="dxa"/>
            <w:shd w:val="clear" w:color="auto" w:fill="F2F2F2"/>
          </w:tcPr>
          <w:p w:rsidR="00A77B3E">
            <w:pPr>
              <w:pStyle w:val="mqeng"/>
              <w:jc w:val="left"/>
            </w:pPr>
            <w:r>
              <w:rPr>
                <w:b/>
                <w:i w:val="0"/>
                <w:noProof/>
                <w:u w:val="none"/>
                <w:vertAlign w:val="baseline"/>
              </w:rPr>
              <w:t>Valuation and Haircuts</w:t>
            </w:r>
          </w:p>
        </w:tc>
        <w:tc>
          <w:tcPr>
            <w:tcW w:w="360" w:type="dxa"/>
            <w:shd w:val="clear" w:color="auto" w:fill="auto"/>
          </w:tcPr>
          <w:p w:rsidR="00A77B3E">
            <w:pPr>
              <w:pStyle w:val="mqspa"/>
              <w:jc w:val="left"/>
            </w:pPr>
            <w:r>
              <w:rPr>
                <w:b/>
                <w:i w:val="0"/>
                <w:noProof w:val="0"/>
                <w:u w:val="none"/>
                <w:vertAlign w:val="baseline"/>
              </w:rPr>
              <w:t>Valoración y descuentos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350</w:t>
              <w:br/>
            </w:r>
            <w:r>
              <w:rPr>
                <w:noProof/>
                <w:sz w:val="2"/>
              </w:rPr>
              <w:t>9899bf65-f87a-4327-85f0-74a64c4b24ec</w:t>
            </w:r>
          </w:p>
        </w:tc>
        <w:tc>
          <w:tcPr>
            <w:tcW w:w="360" w:type="dxa"/>
            <w:shd w:val="clear" w:color="auto" w:fill="F2F2F2"/>
          </w:tcPr>
          <w:p w:rsidR="00A77B3E">
            <w:pPr>
              <w:pStyle w:val="mqeng"/>
              <w:jc w:val="left"/>
            </w:pPr>
            <w:r>
              <w:rPr>
                <w:noProof/>
              </w:rPr>
              <w:t>Valuations are carried out daily in accordance with the relevant valuation principles as described in this Prospectus.</w:t>
            </w:r>
          </w:p>
        </w:tc>
        <w:tc>
          <w:tcPr>
            <w:tcW w:w="360" w:type="dxa"/>
            <w:shd w:val="clear" w:color="auto" w:fill="auto"/>
          </w:tcPr>
          <w:p w:rsidR="00A77B3E">
            <w:pPr>
              <w:pStyle w:val="mqspa"/>
              <w:jc w:val="left"/>
            </w:pPr>
            <w:r>
              <w:rPr>
                <w:noProof w:val="0"/>
              </w:rPr>
              <w:t>Las valoraciones se realizan diariamente de acuerdo con los principios de valoración relevantes descritos en este Folleto.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351</w:t>
              <w:br/>
            </w:r>
            <w:r>
              <w:rPr>
                <w:noProof/>
                <w:sz w:val="2"/>
              </w:rPr>
              <w:t>f6374e97-033e-4d8b-8370-b38b5a2ba15c</w:t>
            </w:r>
          </w:p>
        </w:tc>
        <w:tc>
          <w:tcPr>
            <w:tcW w:w="360" w:type="dxa"/>
            <w:shd w:val="clear" w:color="auto" w:fill="F2F2F2"/>
          </w:tcPr>
          <w:p w:rsidR="00A77B3E">
            <w:pPr>
              <w:pStyle w:val="mqeng"/>
              <w:jc w:val="left"/>
            </w:pPr>
            <w:r>
              <w:rPr>
                <w:noProof/>
              </w:rPr>
              <w:t>A margin is applied to collateral transactions so that, depending on the combination of securities on loan and the type of collateral received, the value of collateral required will range from 102.5% to 110% of the value of securities on loan.</w:t>
            </w:r>
          </w:p>
        </w:tc>
        <w:tc>
          <w:tcPr>
            <w:tcW w:w="360" w:type="dxa"/>
            <w:shd w:val="clear" w:color="auto" w:fill="auto"/>
          </w:tcPr>
          <w:p w:rsidR="00A77B3E">
            <w:pPr>
              <w:pStyle w:val="mqspa"/>
              <w:jc w:val="left"/>
            </w:pPr>
            <w:r>
              <w:rPr>
                <w:noProof w:val="0"/>
              </w:rPr>
              <w:t>Se aplica un margen a las operaciones con garantía de manera que, dependiendo de la combinación de valores en préstamo y el tipo de garantía recibida, el valor de las garantías requeridas oscilará entre el 102,5 % y el 110 % del valor de los valores en préstamo.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352</w:t>
              <w:br/>
            </w:r>
            <w:r>
              <w:rPr>
                <w:noProof/>
                <w:sz w:val="2"/>
              </w:rPr>
              <w:t>159229ea-f4fb-445e-9f07-93cfb1873d66</w:t>
            </w:r>
          </w:p>
        </w:tc>
        <w:tc>
          <w:tcPr>
            <w:tcW w:w="360" w:type="dxa"/>
            <w:shd w:val="clear" w:color="auto" w:fill="F2F2F2"/>
          </w:tcPr>
          <w:p w:rsidR="00A77B3E">
            <w:pPr>
              <w:pStyle w:val="mqeng"/>
              <w:jc w:val="left"/>
            </w:pPr>
            <w:r>
              <w:rPr>
                <w:noProof/>
              </w:rPr>
              <w:t>The collateral is marked to market daily to maintain the 102.5% to 110% excess collateral to act as insurance for volatile market conditions.</w:t>
            </w:r>
          </w:p>
        </w:tc>
        <w:tc>
          <w:tcPr>
            <w:tcW w:w="360" w:type="dxa"/>
            <w:shd w:val="clear" w:color="auto" w:fill="auto"/>
          </w:tcPr>
          <w:p w:rsidR="00A77B3E">
            <w:pPr>
              <w:pStyle w:val="mqspa"/>
              <w:jc w:val="left"/>
            </w:pPr>
            <w:r>
              <w:rPr>
                <w:noProof w:val="0"/>
              </w:rPr>
              <w:t>El colateral se ajusta al mercado diariamente para mantener un exceso de colateral del 102,5% al 110% que actúe como seguro ante condiciones de mercado volátiles.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353</w:t>
              <w:br/>
            </w:r>
            <w:r>
              <w:rPr>
                <w:noProof/>
                <w:sz w:val="2"/>
              </w:rPr>
              <w:t>8044aa6e-e39a-420e-a2ba-197e7063e4ed</w:t>
            </w:r>
          </w:p>
        </w:tc>
        <w:tc>
          <w:tcPr>
            <w:tcW w:w="360" w:type="dxa"/>
            <w:shd w:val="clear" w:color="auto" w:fill="F2F2F2"/>
          </w:tcPr>
          <w:p w:rsidR="00A77B3E">
            <w:pPr>
              <w:pStyle w:val="mqeng"/>
              <w:jc w:val="left"/>
            </w:pPr>
            <w:r>
              <w:rPr>
                <w:noProof/>
              </w:rPr>
              <w:t>The Fund reserves the right to vary this policy at any time, in which case this Prospectus will be updated accordingly.</w:t>
            </w:r>
          </w:p>
        </w:tc>
        <w:tc>
          <w:tcPr>
            <w:tcW w:w="360" w:type="dxa"/>
            <w:shd w:val="clear" w:color="auto" w:fill="auto"/>
          </w:tcPr>
          <w:p w:rsidR="00A77B3E">
            <w:pPr>
              <w:pStyle w:val="mqspa"/>
              <w:jc w:val="left"/>
            </w:pPr>
            <w:r>
              <w:rPr>
                <w:noProof w:val="0"/>
              </w:rPr>
              <w:t>El Fondo se reserva el derecho de modificar esta Política en cualquier momento, en cuyo caso este Folleto informativo se actualizará en consecuencia.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354</w:t>
              <w:br/>
            </w:r>
            <w:r>
              <w:rPr>
                <w:noProof/>
                <w:sz w:val="2"/>
              </w:rPr>
              <w:t>f688e9d1-ec72-4f6f-b1f4-1c4ce6c5deac</w:t>
            </w:r>
          </w:p>
        </w:tc>
        <w:tc>
          <w:tcPr>
            <w:tcW w:w="360" w:type="dxa"/>
            <w:shd w:val="clear" w:color="auto" w:fill="F2F2F2"/>
          </w:tcPr>
          <w:p w:rsidR="00A77B3E">
            <w:pPr>
              <w:pStyle w:val="mqeng"/>
              <w:jc w:val="left"/>
            </w:pPr>
            <w:r>
              <w:rPr>
                <w:b/>
                <w:i w:val="0"/>
                <w:noProof/>
                <w:u w:val="none"/>
                <w:vertAlign w:val="baseline"/>
              </w:rPr>
              <w:t>Valuation point 5</w:t>
            </w:r>
          </w:p>
        </w:tc>
        <w:tc>
          <w:tcPr>
            <w:tcW w:w="360" w:type="dxa"/>
            <w:shd w:val="clear" w:color="auto" w:fill="auto"/>
          </w:tcPr>
          <w:p w:rsidR="00A77B3E">
            <w:pPr>
              <w:pStyle w:val="mqspa"/>
              <w:jc w:val="left"/>
            </w:pPr>
            <w:r>
              <w:rPr>
                <w:b/>
                <w:i w:val="0"/>
                <w:noProof w:val="0"/>
                <w:u w:val="none"/>
                <w:vertAlign w:val="baseline"/>
              </w:rPr>
              <w:t>Momento de valoración 5</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355</w:t>
              <w:br/>
            </w:r>
            <w:r>
              <w:rPr>
                <w:noProof/>
                <w:sz w:val="2"/>
              </w:rPr>
              <w:t>3b2b9fce-0927-4dfa-be77-977a3a89df2c</w:t>
            </w:r>
          </w:p>
        </w:tc>
        <w:tc>
          <w:tcPr>
            <w:tcW w:w="360" w:type="dxa"/>
            <w:shd w:val="clear" w:color="auto" w:fill="F2F2F2"/>
          </w:tcPr>
          <w:p w:rsidR="00A77B3E">
            <w:pPr>
              <w:pStyle w:val="mqeng"/>
              <w:jc w:val="left"/>
            </w:pPr>
            <w:r>
              <w:rPr>
                <w:noProof/>
              </w:rPr>
              <w:t>At valuation point 5, which is immediately after valuation point 4, the NAV of the particular Share Class is €1.0452 and the High Water Mark and Hurdle NAV have been reset to €1.0452 per Share.</w:t>
            </w:r>
          </w:p>
        </w:tc>
        <w:tc>
          <w:tcPr>
            <w:tcW w:w="360" w:type="dxa"/>
            <w:shd w:val="clear" w:color="auto" w:fill="auto"/>
          </w:tcPr>
          <w:p w:rsidR="00A77B3E">
            <w:pPr>
              <w:pStyle w:val="mqspa"/>
              <w:jc w:val="left"/>
            </w:pPr>
            <w:r>
              <w:rPr>
                <w:noProof w:val="0"/>
              </w:rPr>
              <w:t>En el punto de valoración 5, que es inmediatamente después del punto de valoración 4, el Valor liquidativo de la Clase de acciones concreta es de 1,0452 € y la Cota máxima y el VL de corte de la Tasa mínima de rentabilidad se han reestablecido a 1,0452 € por Acción.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356</w:t>
              <w:br/>
            </w:r>
            <w:r>
              <w:rPr>
                <w:noProof/>
                <w:sz w:val="2"/>
              </w:rPr>
              <w:t>d61b05c9-8c21-4e77-b84c-8f913040740b</w:t>
            </w:r>
          </w:p>
        </w:tc>
        <w:tc>
          <w:tcPr>
            <w:tcW w:w="360" w:type="dxa"/>
            <w:shd w:val="clear" w:color="auto" w:fill="F2F2F2"/>
          </w:tcPr>
          <w:p w:rsidR="00A77B3E">
            <w:pPr>
              <w:pStyle w:val="mqeng"/>
              <w:jc w:val="left"/>
            </w:pPr>
            <w:r>
              <w:rPr>
                <w:b/>
                <w:i w:val="0"/>
                <w:noProof/>
                <w:u w:val="none"/>
                <w:vertAlign w:val="baseline"/>
              </w:rPr>
              <w:t>Valuation point 6</w:t>
            </w:r>
          </w:p>
        </w:tc>
        <w:tc>
          <w:tcPr>
            <w:tcW w:w="360" w:type="dxa"/>
            <w:shd w:val="clear" w:color="auto" w:fill="auto"/>
          </w:tcPr>
          <w:p w:rsidR="00A77B3E">
            <w:pPr>
              <w:pStyle w:val="mqspa"/>
              <w:jc w:val="left"/>
            </w:pPr>
            <w:r>
              <w:rPr>
                <w:b/>
                <w:i w:val="0"/>
                <w:noProof w:val="0"/>
                <w:u w:val="none"/>
                <w:vertAlign w:val="baseline"/>
              </w:rPr>
              <w:t>Momento de valoración 6</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357</w:t>
              <w:br/>
            </w:r>
            <w:r>
              <w:rPr>
                <w:noProof/>
                <w:sz w:val="2"/>
              </w:rPr>
              <w:t>d335c449-561c-424f-824f-b9b2afd2678c</w:t>
            </w:r>
          </w:p>
        </w:tc>
        <w:tc>
          <w:tcPr>
            <w:tcW w:w="360" w:type="dxa"/>
            <w:shd w:val="clear" w:color="auto" w:fill="F2F2F2"/>
          </w:tcPr>
          <w:p w:rsidR="00A77B3E">
            <w:pPr>
              <w:pStyle w:val="mqeng"/>
              <w:jc w:val="left"/>
            </w:pPr>
            <w:r>
              <w:rPr>
                <w:noProof/>
              </w:rPr>
              <w:t>At valuation point 6, the Current Day NAV has risen to €1.2352, a performance of €0.1900 compared to the NAV at valuation point 5.</w:t>
            </w:r>
          </w:p>
        </w:tc>
        <w:tc>
          <w:tcPr>
            <w:tcW w:w="360" w:type="dxa"/>
            <w:shd w:val="clear" w:color="auto" w:fill="auto"/>
          </w:tcPr>
          <w:p w:rsidR="00A77B3E">
            <w:pPr>
              <w:pStyle w:val="mqspa"/>
              <w:jc w:val="left"/>
            </w:pPr>
            <w:r>
              <w:rPr>
                <w:noProof w:val="0"/>
              </w:rPr>
              <w:t>En el punto de valoración 6, el NAV del Día Actual ha aumentado a 1,2352 €, un rendimiento de 0,1900 € en comparación con el NAV en el punto de valoración 5.</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358</w:t>
              <w:br/>
            </w:r>
            <w:r>
              <w:rPr>
                <w:noProof/>
                <w:sz w:val="2"/>
              </w:rPr>
              <w:t>7b193e17-773d-4233-ae87-98f9b7d3cd46</w:t>
            </w:r>
          </w:p>
        </w:tc>
        <w:tc>
          <w:tcPr>
            <w:tcW w:w="360" w:type="dxa"/>
            <w:shd w:val="clear" w:color="auto" w:fill="F2F2F2"/>
          </w:tcPr>
          <w:p w:rsidR="00A77B3E">
            <w:pPr>
              <w:pStyle w:val="mqeng"/>
              <w:jc w:val="left"/>
            </w:pPr>
            <w:r>
              <w:rPr>
                <w:noProof/>
              </w:rPr>
              <w:t>The Hurdle NAV has increased by €0.05 to €1.0952 from valuation point 5.</w:t>
            </w:r>
          </w:p>
        </w:tc>
        <w:tc>
          <w:tcPr>
            <w:tcW w:w="360" w:type="dxa"/>
            <w:shd w:val="clear" w:color="auto" w:fill="auto"/>
          </w:tcPr>
          <w:p w:rsidR="00A77B3E">
            <w:pPr>
              <w:pStyle w:val="mqspa"/>
              <w:jc w:val="left"/>
            </w:pPr>
            <w:r>
              <w:rPr>
                <w:noProof w:val="0"/>
              </w:rPr>
              <w:t>El VL de corte ha aumentado en 0,05 € a 1,0952 € desde el punto de valoración 5.</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359</w:t>
              <w:br/>
            </w:r>
            <w:r>
              <w:rPr>
                <w:noProof/>
                <w:sz w:val="2"/>
              </w:rPr>
              <w:t>998f50be-c2d6-4a8f-8447-7e4c45c6f331</w:t>
            </w:r>
          </w:p>
        </w:tc>
        <w:tc>
          <w:tcPr>
            <w:tcW w:w="360" w:type="dxa"/>
            <w:shd w:val="clear" w:color="auto" w:fill="F2F2F2"/>
          </w:tcPr>
          <w:p w:rsidR="00A77B3E">
            <w:pPr>
              <w:pStyle w:val="mqeng"/>
              <w:jc w:val="left"/>
            </w:pPr>
            <w:r>
              <w:rPr>
                <w:noProof/>
              </w:rPr>
              <w:t>The Current Day NAV has outperformed the Hurdle NAV by €0.1400 and a Performance Fee of €0.0140 will be accrued (10% of €0.1400).</w:t>
            </w:r>
          </w:p>
        </w:tc>
        <w:tc>
          <w:tcPr>
            <w:tcW w:w="360" w:type="dxa"/>
            <w:shd w:val="clear" w:color="auto" w:fill="auto"/>
          </w:tcPr>
          <w:p w:rsidR="00A77B3E">
            <w:pPr>
              <w:pStyle w:val="mqspa"/>
              <w:jc w:val="left"/>
            </w:pPr>
            <w:r>
              <w:rPr>
                <w:noProof w:val="0"/>
              </w:rPr>
              <w:t>El NAV del Día Actual ha superado el NAV de Hurdle en €0,1400 y se acumulará una Comisión de Rendimiento de €0,0140 (10% de €0,1400).</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360</w:t>
              <w:br/>
            </w:r>
            <w:r>
              <w:rPr>
                <w:noProof/>
                <w:sz w:val="2"/>
              </w:rPr>
              <w:t>b5d53915-fa6e-48fb-b038-ca860aa6aa7e</w:t>
            </w:r>
          </w:p>
        </w:tc>
        <w:tc>
          <w:tcPr>
            <w:tcW w:w="360" w:type="dxa"/>
            <w:shd w:val="clear" w:color="auto" w:fill="F2F2F2"/>
          </w:tcPr>
          <w:p w:rsidR="00A77B3E">
            <w:pPr>
              <w:pStyle w:val="mqeng"/>
              <w:jc w:val="left"/>
            </w:pPr>
            <w:r>
              <w:rPr>
                <w:noProof/>
              </w:rPr>
              <w:t>This Performance Fee is accrued in the Share Class resulting in a NAV of €1.2212.</w:t>
            </w:r>
          </w:p>
        </w:tc>
        <w:tc>
          <w:tcPr>
            <w:tcW w:w="360" w:type="dxa"/>
            <w:shd w:val="clear" w:color="auto" w:fill="auto"/>
          </w:tcPr>
          <w:p w:rsidR="00A77B3E">
            <w:pPr>
              <w:pStyle w:val="mqspa"/>
              <w:jc w:val="left"/>
            </w:pPr>
            <w:r>
              <w:rPr>
                <w:noProof w:val="0"/>
              </w:rPr>
              <w:t>Esta Comisión de Rendimiento se acumula en la Clase de Acciones resultando en un NAV de 1,2212 €.</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361</w:t>
              <w:br/>
            </w:r>
            <w:r>
              <w:rPr>
                <w:noProof/>
                <w:sz w:val="2"/>
              </w:rPr>
              <w:t>94addfea-8d98-463d-9b51-9c38bef016b7</w:t>
            </w:r>
          </w:p>
        </w:tc>
        <w:tc>
          <w:tcPr>
            <w:tcW w:w="360" w:type="dxa"/>
            <w:shd w:val="clear" w:color="auto" w:fill="F2F2F2"/>
          </w:tcPr>
          <w:p w:rsidR="00A77B3E">
            <w:pPr>
              <w:pStyle w:val="mqeng"/>
              <w:jc w:val="left"/>
            </w:pPr>
            <w:r>
              <w:rPr>
                <w:noProof/>
              </w:rPr>
              <w:t>An investor buying Shares at this point will pay €1.2212 per Share.</w:t>
            </w:r>
          </w:p>
        </w:tc>
        <w:tc>
          <w:tcPr>
            <w:tcW w:w="360" w:type="dxa"/>
            <w:shd w:val="clear" w:color="auto" w:fill="auto"/>
          </w:tcPr>
          <w:p w:rsidR="00A77B3E">
            <w:pPr>
              <w:pStyle w:val="mqspa"/>
              <w:jc w:val="left"/>
            </w:pPr>
            <w:r>
              <w:rPr>
                <w:noProof w:val="0"/>
              </w:rPr>
              <w:t>Un inversor que compre Acciones en este momento pagará 1,2212 € por Acción.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362</w:t>
              <w:br/>
            </w:r>
            <w:r>
              <w:rPr>
                <w:noProof/>
                <w:sz w:val="2"/>
              </w:rPr>
              <w:t>adf50f17-1f20-42fa-af69-24be3deb6651</w:t>
            </w:r>
          </w:p>
        </w:tc>
        <w:tc>
          <w:tcPr>
            <w:tcW w:w="360" w:type="dxa"/>
            <w:shd w:val="clear" w:color="auto" w:fill="F2F2F2"/>
          </w:tcPr>
          <w:p w:rsidR="00A77B3E">
            <w:pPr>
              <w:pStyle w:val="mqeng"/>
              <w:jc w:val="left"/>
            </w:pPr>
            <w:r>
              <w:rPr>
                <w:b/>
                <w:i w:val="0"/>
                <w:noProof/>
                <w:u w:val="none"/>
                <w:vertAlign w:val="baseline"/>
              </w:rPr>
              <w:t>Valuation point 7</w:t>
            </w:r>
          </w:p>
        </w:tc>
        <w:tc>
          <w:tcPr>
            <w:tcW w:w="360" w:type="dxa"/>
            <w:shd w:val="clear" w:color="auto" w:fill="auto"/>
          </w:tcPr>
          <w:p w:rsidR="00A77B3E">
            <w:pPr>
              <w:pStyle w:val="mqspa"/>
              <w:jc w:val="left"/>
            </w:pPr>
            <w:r>
              <w:rPr>
                <w:b/>
                <w:i w:val="0"/>
                <w:noProof w:val="0"/>
                <w:u w:val="none"/>
                <w:vertAlign w:val="baseline"/>
              </w:rPr>
              <w:t>Momento de valoración 7</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363</w:t>
              <w:br/>
            </w:r>
            <w:r>
              <w:rPr>
                <w:noProof/>
                <w:sz w:val="2"/>
              </w:rPr>
              <w:t>9ac193aa-ba79-4986-8194-a61ddb099bfc</w:t>
            </w:r>
          </w:p>
        </w:tc>
        <w:tc>
          <w:tcPr>
            <w:tcW w:w="360" w:type="dxa"/>
            <w:shd w:val="clear" w:color="auto" w:fill="F2F2F2"/>
          </w:tcPr>
          <w:p w:rsidR="00A77B3E">
            <w:pPr>
              <w:pStyle w:val="mqeng"/>
              <w:jc w:val="left"/>
            </w:pPr>
            <w:r>
              <w:rPr>
                <w:noProof/>
              </w:rPr>
              <w:t>At valuation point 7, the Current Day NAV has risen by €0.1000 to €1.3212 from a NAV of €1.2212.</w:t>
            </w:r>
          </w:p>
        </w:tc>
        <w:tc>
          <w:tcPr>
            <w:tcW w:w="360" w:type="dxa"/>
            <w:shd w:val="clear" w:color="auto" w:fill="auto"/>
          </w:tcPr>
          <w:p w:rsidR="00A77B3E">
            <w:pPr>
              <w:pStyle w:val="mqspa"/>
              <w:jc w:val="left"/>
            </w:pPr>
            <w:r>
              <w:rPr>
                <w:noProof w:val="0"/>
              </w:rPr>
              <w:t>En el punto de valoración 7, el NAV del Día Actual ha aumentado en €0,1000 a €1,3212 desde un NAV de €1,2212.</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364</w:t>
              <w:br/>
            </w:r>
            <w:r>
              <w:rPr>
                <w:noProof/>
                <w:sz w:val="2"/>
              </w:rPr>
              <w:t>14c579a0-6db4-435d-9bda-1bdae75ecfd0</w:t>
            </w:r>
          </w:p>
        </w:tc>
        <w:tc>
          <w:tcPr>
            <w:tcW w:w="360" w:type="dxa"/>
            <w:shd w:val="clear" w:color="auto" w:fill="F2F2F2"/>
          </w:tcPr>
          <w:p w:rsidR="00A77B3E">
            <w:pPr>
              <w:pStyle w:val="mqeng"/>
              <w:jc w:val="left"/>
            </w:pPr>
            <w:r>
              <w:rPr>
                <w:noProof/>
              </w:rPr>
              <w:t>The Hurdle NAV has fallen €0.1000 to €0.9952 and is now below the High Water Mark.</w:t>
            </w:r>
          </w:p>
        </w:tc>
        <w:tc>
          <w:tcPr>
            <w:tcW w:w="360" w:type="dxa"/>
            <w:shd w:val="clear" w:color="auto" w:fill="auto"/>
          </w:tcPr>
          <w:p w:rsidR="00A77B3E">
            <w:pPr>
              <w:pStyle w:val="mqspa"/>
              <w:jc w:val="left"/>
            </w:pPr>
            <w:r>
              <w:rPr>
                <w:noProof w:val="0"/>
              </w:rPr>
              <w:t>El NAV de Hurdle ha caído €0,1000 a €0,9952 y ahora está por debajo del High Water Mark.</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365</w:t>
              <w:br/>
            </w:r>
            <w:r>
              <w:rPr>
                <w:noProof/>
                <w:sz w:val="2"/>
              </w:rPr>
              <w:t>f564b30b-adbb-4fe5-a9e1-e474ff66706c</w:t>
            </w:r>
          </w:p>
        </w:tc>
        <w:tc>
          <w:tcPr>
            <w:tcW w:w="360" w:type="dxa"/>
            <w:shd w:val="clear" w:color="auto" w:fill="F2F2F2"/>
          </w:tcPr>
          <w:p w:rsidR="00A77B3E">
            <w:pPr>
              <w:pStyle w:val="mqeng"/>
              <w:jc w:val="left"/>
            </w:pPr>
            <w:r>
              <w:rPr>
                <w:noProof/>
              </w:rPr>
              <w:t>On a relative basis the Current Day NAV has outperformed the Hurdle NAV at this valuation point by €0.2000 and by €0.3400 over the Crystallisation Period.</w:t>
            </w:r>
          </w:p>
        </w:tc>
        <w:tc>
          <w:tcPr>
            <w:tcW w:w="360" w:type="dxa"/>
            <w:shd w:val="clear" w:color="auto" w:fill="auto"/>
          </w:tcPr>
          <w:p w:rsidR="00A77B3E">
            <w:pPr>
              <w:pStyle w:val="mqspa"/>
              <w:jc w:val="left"/>
            </w:pPr>
            <w:r>
              <w:rPr>
                <w:noProof w:val="0"/>
              </w:rPr>
              <w:t>En términos relativos, el NAV del Día Actual ha superado el NAV de Hurdle en este punto de valoración en €0,2000 y en €0,3400 durante el Período de Cristalización.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366</w:t>
              <w:br/>
            </w:r>
            <w:r>
              <w:rPr>
                <w:noProof/>
                <w:sz w:val="2"/>
              </w:rPr>
              <w:t>e82c6b47-2641-40bd-a6d3-b550878bde9c</w:t>
            </w:r>
          </w:p>
        </w:tc>
        <w:tc>
          <w:tcPr>
            <w:tcW w:w="360" w:type="dxa"/>
            <w:shd w:val="clear" w:color="auto" w:fill="F2F2F2"/>
          </w:tcPr>
          <w:p w:rsidR="00A77B3E">
            <w:pPr>
              <w:pStyle w:val="mqeng"/>
              <w:jc w:val="left"/>
            </w:pPr>
            <w:r>
              <w:rPr>
                <w:noProof/>
              </w:rPr>
              <w:t>As the Hurdle NAV is now below the High Water Mark, the maximum Performance Fee calculation is now applicable.</w:t>
            </w:r>
          </w:p>
        </w:tc>
        <w:tc>
          <w:tcPr>
            <w:tcW w:w="360" w:type="dxa"/>
            <w:shd w:val="clear" w:color="auto" w:fill="auto"/>
          </w:tcPr>
          <w:p w:rsidR="00A77B3E">
            <w:pPr>
              <w:pStyle w:val="mqspa"/>
              <w:jc w:val="left"/>
            </w:pPr>
            <w:r>
              <w:rPr>
                <w:noProof w:val="0"/>
              </w:rPr>
              <w:t>Dado que el VL de corte ahora está por debajo de la Marca de agua, ahora es aplicable el cálculo máximo de la Comisión de gestión sobre resultados.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367</w:t>
              <w:br/>
            </w:r>
            <w:r>
              <w:rPr>
                <w:noProof/>
                <w:sz w:val="2"/>
              </w:rPr>
              <w:t>b2e1aa01-9aa5-4761-bab8-32ef29a52f89</w:t>
            </w:r>
          </w:p>
        </w:tc>
        <w:tc>
          <w:tcPr>
            <w:tcW w:w="360" w:type="dxa"/>
            <w:shd w:val="clear" w:color="auto" w:fill="F2F2F2"/>
          </w:tcPr>
          <w:p w:rsidR="00A77B3E">
            <w:pPr>
              <w:pStyle w:val="mqeng"/>
              <w:jc w:val="left"/>
            </w:pPr>
            <w:r>
              <w:rPr>
                <w:noProof/>
              </w:rPr>
              <w:t>The maximum Performance Fee calculation will ensure that the Performance Fee is based on the positive return of the Gross NAV over the High Water Mark only.</w:t>
            </w:r>
          </w:p>
        </w:tc>
        <w:tc>
          <w:tcPr>
            <w:tcW w:w="360" w:type="dxa"/>
            <w:shd w:val="clear" w:color="auto" w:fill="auto"/>
          </w:tcPr>
          <w:p w:rsidR="00A77B3E">
            <w:pPr>
              <w:pStyle w:val="mqspa"/>
              <w:jc w:val="left"/>
            </w:pPr>
            <w:r>
              <w:rPr>
                <w:noProof w:val="0"/>
              </w:rPr>
              <w:t>El cálculo máximo de la Comisión de rentabilidad garantizará que la Comisión de rentabilidad se base únicamente en el retorno positivo del VL bruto sobre la Marca de agua.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368</w:t>
              <w:br/>
            </w:r>
            <w:r>
              <w:rPr>
                <w:noProof/>
                <w:sz w:val="2"/>
              </w:rPr>
              <w:t>47bcf361-86c6-444c-9fdf-1217a8698575</w:t>
            </w:r>
          </w:p>
        </w:tc>
        <w:tc>
          <w:tcPr>
            <w:tcW w:w="360" w:type="dxa"/>
            <w:shd w:val="clear" w:color="auto" w:fill="F2F2F2"/>
          </w:tcPr>
          <w:p w:rsidR="00A77B3E">
            <w:pPr>
              <w:pStyle w:val="mqeng"/>
              <w:jc w:val="left"/>
            </w:pPr>
            <w:r>
              <w:rPr>
                <w:noProof/>
              </w:rPr>
              <w:t>The maximum Performance Fee in this case is the Gross NAV minus the High Water Mark multiplied by 10%.</w:t>
            </w:r>
          </w:p>
        </w:tc>
        <w:tc>
          <w:tcPr>
            <w:tcW w:w="360" w:type="dxa"/>
            <w:shd w:val="clear" w:color="auto" w:fill="auto"/>
          </w:tcPr>
          <w:p w:rsidR="00A77B3E">
            <w:pPr>
              <w:pStyle w:val="mqspa"/>
              <w:jc w:val="left"/>
            </w:pPr>
            <w:r>
              <w:rPr>
                <w:noProof w:val="0"/>
              </w:rPr>
              <w:t>La Comisión de rentabilidad máxima en este caso es el VL bruto menos el Valor liquidativo máximo multiplicado por el 10%.</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369</w:t>
              <w:br/>
            </w:r>
            <w:r>
              <w:rPr>
                <w:noProof/>
                <w:sz w:val="2"/>
              </w:rPr>
              <w:t>714b64a2-7b08-4a68-a5c8-3e86bdff8127</w:t>
            </w:r>
          </w:p>
        </w:tc>
        <w:tc>
          <w:tcPr>
            <w:tcW w:w="360" w:type="dxa"/>
            <w:shd w:val="clear" w:color="auto" w:fill="F2F2F2"/>
          </w:tcPr>
          <w:p w:rsidR="00A77B3E">
            <w:pPr>
              <w:pStyle w:val="mqeng"/>
              <w:jc w:val="left"/>
            </w:pPr>
            <w:r>
              <w:rPr>
                <w:noProof/>
              </w:rPr>
              <w:t>The Performance Fee accrued for this valuation point will be €0.0290 (€1.3352 minus €1.0452 multiplied by 10%).</w:t>
            </w:r>
          </w:p>
        </w:tc>
        <w:tc>
          <w:tcPr>
            <w:tcW w:w="360" w:type="dxa"/>
            <w:shd w:val="clear" w:color="auto" w:fill="auto"/>
          </w:tcPr>
          <w:p w:rsidR="00A77B3E">
            <w:pPr>
              <w:pStyle w:val="mqspa"/>
              <w:jc w:val="left"/>
            </w:pPr>
            <w:r>
              <w:rPr>
                <w:noProof w:val="0"/>
              </w:rPr>
              <w:t>El desempeño acumulado para este punto de valoración será de €0,0290 (€1,3352 menos €1,0452 multiplicado por 10%).</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370</w:t>
              <w:br/>
            </w:r>
            <w:r>
              <w:rPr>
                <w:noProof/>
                <w:sz w:val="2"/>
              </w:rPr>
              <w:t>380633de-b1a0-4a89-8610-de077029b598</w:t>
            </w:r>
          </w:p>
        </w:tc>
        <w:tc>
          <w:tcPr>
            <w:tcW w:w="360" w:type="dxa"/>
            <w:shd w:val="clear" w:color="auto" w:fill="F2F2F2"/>
          </w:tcPr>
          <w:p w:rsidR="00A77B3E">
            <w:pPr>
              <w:pStyle w:val="mqeng"/>
              <w:jc w:val="left"/>
            </w:pPr>
            <w:r>
              <w:rPr>
                <w:noProof/>
              </w:rPr>
              <w:t>This Performance Fee is accrued in the Share Class resulting in a NAV of €1.3062.</w:t>
            </w:r>
          </w:p>
        </w:tc>
        <w:tc>
          <w:tcPr>
            <w:tcW w:w="360" w:type="dxa"/>
            <w:shd w:val="clear" w:color="auto" w:fill="auto"/>
          </w:tcPr>
          <w:p w:rsidR="00A77B3E">
            <w:pPr>
              <w:pStyle w:val="mqspa"/>
              <w:jc w:val="left"/>
            </w:pPr>
            <w:r>
              <w:rPr>
                <w:noProof w:val="0"/>
              </w:rPr>
              <w:t>Esta Comisión de rentabilidad se acumula en la Clase de acciones resultando en un NAV de 1,3062 €.</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371</w:t>
              <w:br/>
            </w:r>
            <w:r>
              <w:rPr>
                <w:noProof/>
                <w:sz w:val="2"/>
              </w:rPr>
              <w:t>85a78ea9-3050-4200-a11d-d42153d5e815</w:t>
            </w:r>
          </w:p>
        </w:tc>
        <w:tc>
          <w:tcPr>
            <w:tcW w:w="360" w:type="dxa"/>
            <w:shd w:val="clear" w:color="auto" w:fill="F2F2F2"/>
          </w:tcPr>
          <w:p w:rsidR="00A77B3E">
            <w:pPr>
              <w:pStyle w:val="mqeng"/>
              <w:jc w:val="left"/>
            </w:pPr>
            <w:r>
              <w:rPr>
                <w:b/>
                <w:i w:val="0"/>
                <w:noProof/>
                <w:u w:val="none"/>
                <w:vertAlign w:val="baseline"/>
              </w:rPr>
              <w:t>Valuation point 8</w:t>
            </w:r>
          </w:p>
        </w:tc>
        <w:tc>
          <w:tcPr>
            <w:tcW w:w="360" w:type="dxa"/>
            <w:shd w:val="clear" w:color="auto" w:fill="auto"/>
          </w:tcPr>
          <w:p w:rsidR="00A77B3E">
            <w:pPr>
              <w:pStyle w:val="mqspa"/>
              <w:jc w:val="left"/>
            </w:pPr>
            <w:r>
              <w:rPr>
                <w:b/>
                <w:i w:val="0"/>
                <w:noProof w:val="0"/>
                <w:u w:val="none"/>
                <w:vertAlign w:val="baseline"/>
              </w:rPr>
              <w:t>Momento de valoración 8</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372</w:t>
              <w:br/>
            </w:r>
            <w:r>
              <w:rPr>
                <w:noProof/>
                <w:sz w:val="2"/>
              </w:rPr>
              <w:t>2fa73d06-3a56-4d27-a759-8b4b41947495</w:t>
            </w:r>
          </w:p>
        </w:tc>
        <w:tc>
          <w:tcPr>
            <w:tcW w:w="360" w:type="dxa"/>
            <w:shd w:val="clear" w:color="auto" w:fill="F2F2F2"/>
          </w:tcPr>
          <w:p w:rsidR="00A77B3E">
            <w:pPr>
              <w:pStyle w:val="mqeng"/>
              <w:jc w:val="left"/>
            </w:pPr>
            <w:r>
              <w:rPr>
                <w:noProof/>
              </w:rPr>
              <w:t>At valuation point 8 the Current Day NAV has fallen by €0.3000 to €1.0062 from a NAV of €1.3062.</w:t>
            </w:r>
          </w:p>
        </w:tc>
        <w:tc>
          <w:tcPr>
            <w:tcW w:w="360" w:type="dxa"/>
            <w:shd w:val="clear" w:color="auto" w:fill="auto"/>
          </w:tcPr>
          <w:p w:rsidR="00A77B3E">
            <w:pPr>
              <w:pStyle w:val="mqspa"/>
              <w:jc w:val="left"/>
            </w:pPr>
            <w:r>
              <w:rPr>
                <w:noProof w:val="0"/>
              </w:rPr>
              <w:t>En el punto de valoración 8, el NAV del Día Actual ha caído en €0,3000 a €1,0062 desde un NAV de €1,3062.</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373</w:t>
              <w:br/>
            </w:r>
            <w:r>
              <w:rPr>
                <w:noProof/>
                <w:sz w:val="2"/>
              </w:rPr>
              <w:t>abadcd55-f39e-48ef-89d2-4d7953e4c728</w:t>
            </w:r>
          </w:p>
        </w:tc>
        <w:tc>
          <w:tcPr>
            <w:tcW w:w="360" w:type="dxa"/>
            <w:shd w:val="clear" w:color="auto" w:fill="F2F2F2"/>
          </w:tcPr>
          <w:p w:rsidR="00A77B3E">
            <w:pPr>
              <w:pStyle w:val="mqeng"/>
              <w:jc w:val="left"/>
            </w:pPr>
            <w:r>
              <w:rPr>
                <w:noProof/>
              </w:rPr>
              <w:t>The Hurdle NAV has fallen by €0.1000 to €0.8952.</w:t>
            </w:r>
          </w:p>
        </w:tc>
        <w:tc>
          <w:tcPr>
            <w:tcW w:w="360" w:type="dxa"/>
            <w:shd w:val="clear" w:color="auto" w:fill="auto"/>
          </w:tcPr>
          <w:p w:rsidR="00A77B3E">
            <w:pPr>
              <w:pStyle w:val="mqspa"/>
              <w:jc w:val="left"/>
            </w:pPr>
            <w:r>
              <w:rPr>
                <w:noProof w:val="0"/>
              </w:rPr>
              <w:t>El NAV de Hurdle ha caído en €0,1000 hasta €0,8952.</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374</w:t>
              <w:br/>
            </w:r>
            <w:r>
              <w:rPr>
                <w:noProof/>
                <w:sz w:val="2"/>
              </w:rPr>
              <w:t>a783337a-dd93-4fbc-9586-95d7ce1a0bf5</w:t>
            </w:r>
          </w:p>
        </w:tc>
        <w:tc>
          <w:tcPr>
            <w:tcW w:w="360" w:type="dxa"/>
            <w:shd w:val="clear" w:color="auto" w:fill="F2F2F2"/>
          </w:tcPr>
          <w:p w:rsidR="00A77B3E">
            <w:pPr>
              <w:pStyle w:val="mqeng"/>
              <w:jc w:val="left"/>
            </w:pPr>
            <w:r>
              <w:rPr>
                <w:noProof/>
              </w:rPr>
              <w:t>The Current Day NAV has underperformed the Hurdle NAV by €0.2000 at the valuation point and has outperformed the Hurdle NAV by €0.1400 over the Crystallisation Period.</w:t>
            </w:r>
          </w:p>
        </w:tc>
        <w:tc>
          <w:tcPr>
            <w:tcW w:w="360" w:type="dxa"/>
            <w:shd w:val="clear" w:color="auto" w:fill="auto"/>
          </w:tcPr>
          <w:p w:rsidR="00A77B3E">
            <w:pPr>
              <w:pStyle w:val="mqspa"/>
              <w:jc w:val="left"/>
            </w:pPr>
            <w:r>
              <w:rPr>
                <w:noProof w:val="0"/>
              </w:rPr>
              <w:t>El NAV del Día Actual ha tenido un rendimiento inferior al NAV de Hurdle en €0,2000 en el punto de valoración y ha superado al NAV de Hurdle en €0,1400 durante el Período de Cristalización.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375</w:t>
              <w:br/>
            </w:r>
            <w:r>
              <w:rPr>
                <w:noProof/>
                <w:sz w:val="2"/>
              </w:rPr>
              <w:t>aa0d5fe4-5f26-493b-8824-0916ea8d4cf7</w:t>
            </w:r>
          </w:p>
        </w:tc>
        <w:tc>
          <w:tcPr>
            <w:tcW w:w="360" w:type="dxa"/>
            <w:shd w:val="clear" w:color="auto" w:fill="F2F2F2"/>
          </w:tcPr>
          <w:p w:rsidR="00A77B3E">
            <w:pPr>
              <w:pStyle w:val="mqeng"/>
              <w:jc w:val="left"/>
            </w:pPr>
            <w:r>
              <w:rPr>
                <w:noProof/>
              </w:rPr>
              <w:t>Although the Current Day NAV and Gross NAV have outperformed the Hurdle NAV over the Crystallisation Period, the Gross NAV is under the High Water Mark and a Performance Fee will not be paid.</w:t>
            </w:r>
          </w:p>
        </w:tc>
        <w:tc>
          <w:tcPr>
            <w:tcW w:w="360" w:type="dxa"/>
            <w:shd w:val="clear" w:color="auto" w:fill="auto"/>
          </w:tcPr>
          <w:p w:rsidR="00A77B3E">
            <w:pPr>
              <w:pStyle w:val="mqspa"/>
              <w:jc w:val="left"/>
            </w:pPr>
            <w:r>
              <w:rPr>
                <w:noProof w:val="0"/>
              </w:rPr>
              <w:t>Aunque el NAV sin devengo de CGR y el NAV bruto han superado el VL de corte durante el Periodo de Cristalización, el NAV bruto está por debajo de la Marca de agua y no se pagará ninguna Comisión de gestión sobre resultados.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376</w:t>
              <w:br/>
            </w:r>
            <w:r>
              <w:rPr>
                <w:noProof/>
                <w:sz w:val="2"/>
              </w:rPr>
              <w:t>0c3e3790-98a7-4bf1-8047-7e1310cc6ac7</w:t>
            </w:r>
          </w:p>
        </w:tc>
        <w:tc>
          <w:tcPr>
            <w:tcW w:w="360" w:type="dxa"/>
            <w:shd w:val="clear" w:color="auto" w:fill="F2F2F2"/>
          </w:tcPr>
          <w:p w:rsidR="00A77B3E">
            <w:pPr>
              <w:pStyle w:val="mqeng"/>
              <w:jc w:val="left"/>
            </w:pPr>
            <w:r>
              <w:rPr>
                <w:b/>
                <w:i w:val="0"/>
                <w:noProof/>
                <w:u w:val="none"/>
                <w:vertAlign w:val="baseline"/>
              </w:rPr>
              <w:t>Impact of worked examples on individual investors</w:t>
            </w:r>
          </w:p>
        </w:tc>
        <w:tc>
          <w:tcPr>
            <w:tcW w:w="360" w:type="dxa"/>
            <w:shd w:val="clear" w:color="auto" w:fill="auto"/>
          </w:tcPr>
          <w:p w:rsidR="00A77B3E">
            <w:pPr>
              <w:pStyle w:val="mqspa"/>
              <w:jc w:val="left"/>
            </w:pPr>
            <w:r>
              <w:rPr>
                <w:b/>
                <w:i w:val="0"/>
                <w:noProof w:val="0"/>
                <w:u w:val="none"/>
                <w:vertAlign w:val="baseline"/>
              </w:rPr>
              <w:t>Impacto de los ejemplos prácticos en inversores individuales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377</w:t>
              <w:br/>
            </w:r>
            <w:r>
              <w:rPr>
                <w:noProof/>
                <w:sz w:val="2"/>
              </w:rPr>
              <w:t>53c1c05b-b22c-4b8f-b5c3-bf4296cd0639</w:t>
            </w:r>
          </w:p>
        </w:tc>
        <w:tc>
          <w:tcPr>
            <w:tcW w:w="360" w:type="dxa"/>
            <w:shd w:val="clear" w:color="auto" w:fill="F2F2F2"/>
          </w:tcPr>
          <w:p w:rsidR="00A77B3E">
            <w:pPr>
              <w:pStyle w:val="mqeng"/>
              <w:jc w:val="left"/>
            </w:pPr>
            <w:r>
              <w:rPr>
                <w:noProof/>
              </w:rPr>
              <w:t>If we examine the case of three separate investors the respective impacts would be as follows:</w:t>
            </w:r>
          </w:p>
        </w:tc>
        <w:tc>
          <w:tcPr>
            <w:tcW w:w="360" w:type="dxa"/>
            <w:shd w:val="clear" w:color="auto" w:fill="auto"/>
          </w:tcPr>
          <w:p w:rsidR="00A77B3E">
            <w:pPr>
              <w:pStyle w:val="mqspa"/>
              <w:jc w:val="left"/>
            </w:pPr>
            <w:r>
              <w:rPr>
                <w:noProof w:val="0"/>
              </w:rPr>
              <w:t>Si examinamos el caso de tres inversores separados, los respectivos impactos serían los siguientes: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378</w:t>
              <w:br/>
            </w:r>
            <w:r>
              <w:rPr>
                <w:noProof/>
                <w:sz w:val="2"/>
              </w:rPr>
              <w:t>6348e7cc-7ff4-4069-8627-e92841921075</w:t>
            </w:r>
          </w:p>
        </w:tc>
        <w:tc>
          <w:tcPr>
            <w:tcW w:w="360" w:type="dxa"/>
            <w:shd w:val="clear" w:color="auto" w:fill="F2F2F2"/>
          </w:tcPr>
          <w:p w:rsidR="00A77B3E">
            <w:pPr>
              <w:pStyle w:val="mqeng"/>
              <w:jc w:val="left"/>
            </w:pPr>
            <w:r>
              <w:rPr>
                <w:b/>
                <w:i w:val="0"/>
                <w:noProof/>
                <w:u w:val="none"/>
                <w:vertAlign w:val="baseline"/>
              </w:rPr>
              <w:t>Investor D</w:t>
            </w:r>
          </w:p>
        </w:tc>
        <w:tc>
          <w:tcPr>
            <w:tcW w:w="360" w:type="dxa"/>
            <w:shd w:val="clear" w:color="auto" w:fill="auto"/>
          </w:tcPr>
          <w:p w:rsidR="00A77B3E">
            <w:pPr>
              <w:pStyle w:val="mqspa"/>
              <w:jc w:val="left"/>
            </w:pPr>
            <w:r>
              <w:rPr>
                <w:b/>
                <w:i w:val="0"/>
                <w:noProof w:val="0"/>
                <w:u w:val="none"/>
                <w:vertAlign w:val="baseline"/>
              </w:rPr>
              <w:t>Inversor 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379</w:t>
              <w:br/>
            </w:r>
            <w:r>
              <w:rPr>
                <w:noProof/>
                <w:sz w:val="2"/>
              </w:rPr>
              <w:t>acc73224-a70d-4798-90cf-f57faf1d0480</w:t>
            </w:r>
          </w:p>
        </w:tc>
        <w:tc>
          <w:tcPr>
            <w:tcW w:w="360" w:type="dxa"/>
            <w:shd w:val="clear" w:color="auto" w:fill="F2F2F2"/>
          </w:tcPr>
          <w:p w:rsidR="00A77B3E">
            <w:pPr>
              <w:pStyle w:val="mqeng"/>
              <w:jc w:val="left"/>
            </w:pPr>
            <w:r>
              <w:rPr>
                <w:noProof/>
              </w:rPr>
              <w:t>Investor D held their Shares throughout the Crystallisation Period.</w:t>
            </w:r>
          </w:p>
        </w:tc>
        <w:tc>
          <w:tcPr>
            <w:tcW w:w="360" w:type="dxa"/>
            <w:shd w:val="clear" w:color="auto" w:fill="auto"/>
          </w:tcPr>
          <w:p w:rsidR="00A77B3E">
            <w:pPr>
              <w:pStyle w:val="mqspa"/>
              <w:jc w:val="left"/>
            </w:pPr>
            <w:r>
              <w:rPr>
                <w:noProof w:val="0"/>
              </w:rPr>
              <w:t>El inversor D mantuvo sus Acciones durante el Periodo de Cristalización.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380</w:t>
              <w:br/>
            </w:r>
            <w:r>
              <w:rPr>
                <w:noProof/>
                <w:sz w:val="2"/>
              </w:rPr>
              <w:t>0d7d8d17-6f69-4ea5-ac81-cb90d8bc9590</w:t>
            </w:r>
          </w:p>
        </w:tc>
        <w:tc>
          <w:tcPr>
            <w:tcW w:w="360" w:type="dxa"/>
            <w:shd w:val="clear" w:color="auto" w:fill="F2F2F2"/>
          </w:tcPr>
          <w:p w:rsidR="00A77B3E">
            <w:pPr>
              <w:pStyle w:val="mqeng"/>
              <w:jc w:val="left"/>
            </w:pPr>
            <w:r>
              <w:rPr>
                <w:noProof/>
              </w:rPr>
              <w:t>The NAV of the Shares held by Investor D was €1.0452 at the beginning of the Crystallisation Period and the Gross NAV was €1.0352 at the end of the Crystallisation Period.</w:t>
            </w:r>
          </w:p>
        </w:tc>
        <w:tc>
          <w:tcPr>
            <w:tcW w:w="360" w:type="dxa"/>
            <w:shd w:val="clear" w:color="auto" w:fill="auto"/>
          </w:tcPr>
          <w:p w:rsidR="00A77B3E">
            <w:pPr>
              <w:pStyle w:val="mqspa"/>
              <w:jc w:val="left"/>
            </w:pPr>
            <w:r>
              <w:rPr>
                <w:noProof w:val="0"/>
              </w:rPr>
              <w:t>El VL de las Acciones del Inversor D era de 1,0452 € al comienzo del Periodo de Cristalización y el VL bruto era de 1,0352 € al finalizar el Periodo de Cristalización.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381</w:t>
              <w:br/>
            </w:r>
            <w:r>
              <w:rPr>
                <w:noProof/>
                <w:sz w:val="2"/>
              </w:rPr>
              <w:t>f0ed7979-d35a-49dd-8fe1-c5b4a6c5f849</w:t>
            </w:r>
          </w:p>
        </w:tc>
        <w:tc>
          <w:tcPr>
            <w:tcW w:w="360" w:type="dxa"/>
            <w:shd w:val="clear" w:color="auto" w:fill="F2F2F2"/>
          </w:tcPr>
          <w:p w:rsidR="00A77B3E">
            <w:pPr>
              <w:pStyle w:val="mqeng"/>
              <w:jc w:val="left"/>
            </w:pPr>
            <w:r>
              <w:rPr>
                <w:noProof/>
              </w:rPr>
              <w:t>As the Gross NAV is under the High Water Mark of €1.0452, no performance fee is payable.</w:t>
            </w:r>
          </w:p>
        </w:tc>
        <w:tc>
          <w:tcPr>
            <w:tcW w:w="360" w:type="dxa"/>
            <w:shd w:val="clear" w:color="auto" w:fill="auto"/>
          </w:tcPr>
          <w:p w:rsidR="00A77B3E">
            <w:pPr>
              <w:pStyle w:val="mqspa"/>
              <w:jc w:val="left"/>
            </w:pPr>
            <w:r>
              <w:rPr>
                <w:noProof w:val="0"/>
              </w:rPr>
              <w:t>Como el VL bruto está por debajo de la Marca de agua de 1,0452 €, no se debe ninguna comisión de rentabilidad.</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382</w:t>
              <w:br/>
            </w:r>
            <w:r>
              <w:rPr>
                <w:noProof/>
                <w:sz w:val="2"/>
              </w:rPr>
              <w:t>ab46c18e-3c92-4c33-9881-8095f1e7fb97</w:t>
            </w:r>
          </w:p>
        </w:tc>
        <w:tc>
          <w:tcPr>
            <w:tcW w:w="360" w:type="dxa"/>
            <w:shd w:val="clear" w:color="auto" w:fill="F2F2F2"/>
          </w:tcPr>
          <w:p w:rsidR="00A77B3E">
            <w:pPr>
              <w:pStyle w:val="mqeng"/>
              <w:jc w:val="left"/>
            </w:pPr>
            <w:r>
              <w:rPr>
                <w:noProof/>
              </w:rPr>
              <w:t>No Performance Fee is therefore payable in respect of this Crystallisation Period as illustrated in valuation point 8 above.</w:t>
            </w:r>
          </w:p>
        </w:tc>
        <w:tc>
          <w:tcPr>
            <w:tcW w:w="360" w:type="dxa"/>
            <w:shd w:val="clear" w:color="auto" w:fill="auto"/>
          </w:tcPr>
          <w:p w:rsidR="00A77B3E">
            <w:pPr>
              <w:pStyle w:val="mqspa"/>
              <w:jc w:val="left"/>
            </w:pPr>
            <w:r>
              <w:rPr>
                <w:noProof w:val="0"/>
              </w:rPr>
              <w:t>No ha de pagar por lo tanto ninguna Comisión de gestión sobre resultados en relación a este Periodo de Cristalización, como se ilustra en el punto de valoración 8 anterior.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383</w:t>
              <w:br/>
            </w:r>
            <w:r>
              <w:rPr>
                <w:noProof/>
                <w:sz w:val="2"/>
              </w:rPr>
              <w:t>1bbaa74c-38f9-4d57-aa6b-6abdb00de17f</w:t>
            </w:r>
          </w:p>
        </w:tc>
        <w:tc>
          <w:tcPr>
            <w:tcW w:w="360" w:type="dxa"/>
            <w:shd w:val="clear" w:color="auto" w:fill="F2F2F2"/>
          </w:tcPr>
          <w:p w:rsidR="00A77B3E">
            <w:pPr>
              <w:pStyle w:val="mqeng"/>
              <w:jc w:val="left"/>
            </w:pPr>
            <w:r>
              <w:rPr>
                <w:noProof/>
              </w:rPr>
              <w:t>Accordingly, Investor D will not have paid a Performance Fee.</w:t>
            </w:r>
          </w:p>
        </w:tc>
        <w:tc>
          <w:tcPr>
            <w:tcW w:w="360" w:type="dxa"/>
            <w:shd w:val="clear" w:color="auto" w:fill="auto"/>
          </w:tcPr>
          <w:p w:rsidR="00A77B3E">
            <w:pPr>
              <w:pStyle w:val="mqspa"/>
              <w:jc w:val="left"/>
            </w:pPr>
            <w:r>
              <w:rPr>
                <w:noProof w:val="0"/>
              </w:rPr>
              <w:t>En consecuencia, el inversor D no habrá pagado una Comisión de gestión sobre resultados.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384</w:t>
              <w:br/>
            </w:r>
            <w:r>
              <w:rPr>
                <w:noProof/>
                <w:sz w:val="2"/>
              </w:rPr>
              <w:t>113b86e9-c7eb-4e0d-8132-1151c81d2a85</w:t>
            </w:r>
          </w:p>
        </w:tc>
        <w:tc>
          <w:tcPr>
            <w:tcW w:w="360" w:type="dxa"/>
            <w:shd w:val="clear" w:color="auto" w:fill="F2F2F2"/>
          </w:tcPr>
          <w:p w:rsidR="00A77B3E">
            <w:pPr>
              <w:pStyle w:val="mqeng"/>
              <w:jc w:val="left"/>
            </w:pPr>
            <w:r>
              <w:rPr>
                <w:b/>
                <w:i w:val="0"/>
                <w:noProof/>
                <w:u w:val="none"/>
                <w:vertAlign w:val="baseline"/>
              </w:rPr>
              <w:t>Investor E</w:t>
            </w:r>
          </w:p>
        </w:tc>
        <w:tc>
          <w:tcPr>
            <w:tcW w:w="360" w:type="dxa"/>
            <w:shd w:val="clear" w:color="auto" w:fill="auto"/>
          </w:tcPr>
          <w:p w:rsidR="00A77B3E">
            <w:pPr>
              <w:pStyle w:val="mqspa"/>
              <w:jc w:val="left"/>
            </w:pPr>
            <w:r>
              <w:rPr>
                <w:b/>
                <w:i w:val="0"/>
                <w:noProof w:val="0"/>
                <w:u w:val="none"/>
                <w:vertAlign w:val="baseline"/>
              </w:rPr>
              <w:t>Inversor 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385</w:t>
              <w:br/>
            </w:r>
            <w:r>
              <w:rPr>
                <w:noProof/>
                <w:sz w:val="2"/>
              </w:rPr>
              <w:t>37a4ad07-87e8-41fd-ae24-802871c92817</w:t>
            </w:r>
          </w:p>
        </w:tc>
        <w:tc>
          <w:tcPr>
            <w:tcW w:w="360" w:type="dxa"/>
            <w:shd w:val="clear" w:color="auto" w:fill="F2F2F2"/>
          </w:tcPr>
          <w:p w:rsidR="00A77B3E">
            <w:pPr>
              <w:pStyle w:val="mqeng"/>
              <w:jc w:val="left"/>
            </w:pPr>
            <w:r>
              <w:rPr>
                <w:noProof/>
              </w:rPr>
              <w:t>Investor E invested at valuation point 6 and sold their Shares at valuation point 7</w:t>
            </w:r>
          </w:p>
        </w:tc>
        <w:tc>
          <w:tcPr>
            <w:tcW w:w="360" w:type="dxa"/>
            <w:shd w:val="clear" w:color="auto" w:fill="auto"/>
          </w:tcPr>
          <w:p w:rsidR="00A77B3E">
            <w:pPr>
              <w:pStyle w:val="mqspa"/>
              <w:jc w:val="left"/>
            </w:pPr>
            <w:r>
              <w:rPr>
                <w:noProof w:val="0"/>
              </w:rPr>
              <w:t>El inversor E invirtió en el punto de valoración 6 y vendió sus Acciones en el punto de valoración 7</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386</w:t>
              <w:br/>
            </w:r>
            <w:r>
              <w:rPr>
                <w:noProof/>
                <w:sz w:val="2"/>
              </w:rPr>
              <w:t>c75f6634-10ab-4e85-a862-eb25e3073ecf</w:t>
            </w:r>
          </w:p>
        </w:tc>
        <w:tc>
          <w:tcPr>
            <w:tcW w:w="360" w:type="dxa"/>
            <w:shd w:val="clear" w:color="auto" w:fill="F2F2F2"/>
          </w:tcPr>
          <w:p w:rsidR="00A77B3E">
            <w:pPr>
              <w:pStyle w:val="mqeng"/>
              <w:jc w:val="left"/>
            </w:pPr>
            <w:r>
              <w:rPr>
                <w:noProof/>
              </w:rPr>
              <w:t>The Shares acquired by Investor E at €1.2212 per Share at valuation point 6 and sold at €1.3062 per Share at valuation point 7 will see the increase of the Performance Fee accrual from €0.0140 per Share (as it was at valuation point 6) to €0.0290 per Share.</w:t>
            </w:r>
          </w:p>
        </w:tc>
        <w:tc>
          <w:tcPr>
            <w:tcW w:w="360" w:type="dxa"/>
            <w:shd w:val="clear" w:color="auto" w:fill="auto"/>
          </w:tcPr>
          <w:p w:rsidR="00A77B3E">
            <w:pPr>
              <w:pStyle w:val="mqspa"/>
              <w:jc w:val="left"/>
            </w:pPr>
            <w:r>
              <w:rPr>
                <w:noProof w:val="0"/>
              </w:rPr>
              <w:t>Las Acciones adquiridas por el Inversor E a 1,2212 € por Acción en el Momento de valoración 6 y vendidas a 1,3062 € por Acción en el Momento de valoración 7 verán incrementarse la acumulación de la Comisión de desempeño de 0,0140 € por Acción (al ser en el Momento de valoración 6) hasta los 0,0290 € por Acción.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387</w:t>
              <w:br/>
            </w:r>
            <w:r>
              <w:rPr>
                <w:noProof/>
                <w:sz w:val="2"/>
              </w:rPr>
              <w:t>34493e11-05a3-420e-b3ef-71ef6b1ca34a</w:t>
            </w:r>
          </w:p>
        </w:tc>
        <w:tc>
          <w:tcPr>
            <w:tcW w:w="360" w:type="dxa"/>
            <w:shd w:val="clear" w:color="auto" w:fill="F2F2F2"/>
          </w:tcPr>
          <w:p w:rsidR="00A77B3E">
            <w:pPr>
              <w:pStyle w:val="mqeng"/>
              <w:jc w:val="left"/>
            </w:pPr>
            <w:r>
              <w:rPr>
                <w:noProof/>
              </w:rPr>
              <w:t>If on this valuation point, there are net redemptions, the accrued Performance Fee in relation to the net redemptions will Crystallise and will be paid to the Investment Manager as soon as practicable.</w:t>
            </w:r>
          </w:p>
        </w:tc>
        <w:tc>
          <w:tcPr>
            <w:tcW w:w="360" w:type="dxa"/>
            <w:shd w:val="clear" w:color="auto" w:fill="auto"/>
          </w:tcPr>
          <w:p w:rsidR="00A77B3E">
            <w:pPr>
              <w:pStyle w:val="mqspa"/>
              <w:jc w:val="left"/>
            </w:pPr>
            <w:r>
              <w:rPr>
                <w:noProof w:val="0"/>
              </w:rPr>
              <w:t>Si en este punto de valoración hay reembolsos netos, la Comisión de Rendimiento acumulada en relación con los reembolsos netos se cristalizará y se pagará al Gestor de Inversiones tan pronto como sea posible.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388</w:t>
              <w:br/>
            </w:r>
            <w:r>
              <w:rPr>
                <w:noProof/>
                <w:sz w:val="2"/>
              </w:rPr>
              <w:t>6f9c204d-f0f9-4cae-aa3e-d4d2d5fc55e1</w:t>
            </w:r>
          </w:p>
        </w:tc>
        <w:tc>
          <w:tcPr>
            <w:tcW w:w="360" w:type="dxa"/>
            <w:shd w:val="clear" w:color="auto" w:fill="F2F2F2"/>
          </w:tcPr>
          <w:p w:rsidR="00A77B3E">
            <w:pPr>
              <w:pStyle w:val="mqeng"/>
              <w:jc w:val="left"/>
            </w:pPr>
            <w:r>
              <w:rPr>
                <w:b/>
                <w:i w:val="0"/>
                <w:noProof/>
                <w:u w:val="none"/>
                <w:vertAlign w:val="baseline"/>
              </w:rPr>
              <w:t>GHG Emissions</w:t>
            </w:r>
          </w:p>
        </w:tc>
        <w:tc>
          <w:tcPr>
            <w:tcW w:w="360" w:type="dxa"/>
            <w:shd w:val="clear" w:color="auto" w:fill="auto"/>
          </w:tcPr>
          <w:p w:rsidR="00A77B3E">
            <w:pPr>
              <w:pStyle w:val="mqspa"/>
              <w:jc w:val="left"/>
            </w:pPr>
            <w:r>
              <w:rPr>
                <w:b/>
                <w:i w:val="0"/>
                <w:noProof w:val="0"/>
                <w:u w:val="none"/>
                <w:vertAlign w:val="baseline"/>
              </w:rPr>
              <w:t>Emisiones de GEI</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389</w:t>
              <w:br/>
            </w:r>
            <w:r>
              <w:rPr>
                <w:noProof/>
                <w:sz w:val="2"/>
              </w:rPr>
              <w:t>b9e51b8a-ae3f-4339-ad26-6daef04b56b9</w:t>
            </w:r>
          </w:p>
        </w:tc>
        <w:tc>
          <w:tcPr>
            <w:tcW w:w="360" w:type="dxa"/>
            <w:shd w:val="clear" w:color="auto" w:fill="F2F2F2"/>
          </w:tcPr>
          <w:p w:rsidR="00A77B3E">
            <w:pPr>
              <w:pStyle w:val="mqeng"/>
              <w:jc w:val="left"/>
            </w:pPr>
            <w:r>
              <w:rPr>
                <w:noProof/>
              </w:rPr>
              <w:t>Issuers are excluded if they derive more than 5% of their revenue from fossil fuel extraction and refining, and fossil fuel power generation.</w:t>
            </w:r>
          </w:p>
        </w:tc>
        <w:tc>
          <w:tcPr>
            <w:tcW w:w="360" w:type="dxa"/>
            <w:shd w:val="clear" w:color="auto" w:fill="auto"/>
          </w:tcPr>
          <w:p w:rsidR="00A77B3E">
            <w:pPr>
              <w:pStyle w:val="mqspa"/>
              <w:jc w:val="left"/>
            </w:pPr>
            <w:r>
              <w:rPr>
                <w:noProof w:val="0"/>
              </w:rPr>
              <w:t>Los emisores están excluidos si obtienen más del 5% de sus ingresos de la extracción de combustibles fósiles y el refinado, así como de la generación de energía de combustibles fósiles.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390</w:t>
              <w:br/>
            </w:r>
            <w:r>
              <w:rPr>
                <w:noProof/>
                <w:sz w:val="2"/>
              </w:rPr>
              <w:t>0b3b5079-b36b-4a4d-821f-8a7aad2a2ef2</w:t>
            </w:r>
          </w:p>
        </w:tc>
        <w:tc>
          <w:tcPr>
            <w:tcW w:w="360" w:type="dxa"/>
            <w:shd w:val="clear" w:color="auto" w:fill="F2F2F2"/>
          </w:tcPr>
          <w:p w:rsidR="00A77B3E">
            <w:pPr>
              <w:pStyle w:val="mqeng"/>
              <w:jc w:val="left"/>
            </w:pPr>
            <w:r>
              <w:rPr>
                <w:rStyle w:val="mqInternal"/>
                <w:b w:val="0"/>
                <w:i w:val="0"/>
                <w:noProof/>
                <w:u w:val="none"/>
                <w:vertAlign w:val="baseline"/>
              </w:rPr>
              <w:t>[1}</w:t>
            </w:r>
            <w:r>
              <w:rPr>
                <w:noProof/>
              </w:rPr>
              <w:t xml:space="preserve"> (</w:t>
            </w:r>
            <w:r>
              <w:rPr>
                <w:rStyle w:val="mqInternal"/>
                <w:b w:val="0"/>
                <w:i w:val="0"/>
                <w:noProof/>
                <w:u w:val="none"/>
                <w:vertAlign w:val="baseline"/>
              </w:rPr>
              <w:t>{2]</w:t>
            </w:r>
            <w:r>
              <w:rPr>
                <w:noProof/>
              </w:rPr>
              <w:t>The Investment Manager may invest in issuers generating power from natural gas if the issuer’s strategy involves a transition to renewable energy power generation and they have a carbon intensity aligned with the scenario of restricting global warming to two degrees above pre-industrial levels.</w:t>
            </w:r>
          </w:p>
        </w:tc>
        <w:tc>
          <w:tcPr>
            <w:tcW w:w="360" w:type="dxa"/>
            <w:shd w:val="clear" w:color="auto" w:fill="auto"/>
          </w:tcPr>
          <w:p w:rsidR="00A77B3E">
            <w:pPr>
              <w:pStyle w:val="mqspa"/>
              <w:jc w:val="left"/>
            </w:pPr>
            <w:r>
              <w:rPr>
                <w:rStyle w:val="mqInternal"/>
                <w:b w:val="0"/>
                <w:i w:val="0"/>
                <w:noProof/>
                <w:u w:val="none"/>
                <w:vertAlign w:val="baseline"/>
              </w:rPr>
              <w:t>[1}</w:t>
            </w:r>
            <w:r>
              <w:rPr>
                <w:noProof w:val="0"/>
              </w:rPr>
              <w:t xml:space="preserve"> (</w:t>
            </w:r>
            <w:r>
              <w:rPr>
                <w:rStyle w:val="mqInternal"/>
                <w:b w:val="0"/>
                <w:i w:val="0"/>
                <w:noProof/>
                <w:u w:val="none"/>
                <w:vertAlign w:val="baseline"/>
              </w:rPr>
              <w:t>{2]</w:t>
            </w:r>
            <w:r>
              <w:rPr>
                <w:noProof w:val="0"/>
              </w:rPr>
              <w:t>El Gestor de inversiones puede invertir en emisores que generan energía a partir del gas natural si la estrategia del emisor conlleva una transición a la generación de energía renovable y tienen una intensidad de carbono alineada con el escenario de limitar el calentamiento global a dos grados por encima de los niveles anteriores.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391</w:t>
              <w:br/>
            </w:r>
            <w:r>
              <w:rPr>
                <w:noProof/>
                <w:sz w:val="2"/>
              </w:rPr>
              <w:t>cd62aa30-0087-4d01-91d8-fa93b1c4b362</w:t>
            </w:r>
          </w:p>
        </w:tc>
        <w:tc>
          <w:tcPr>
            <w:tcW w:w="360" w:type="dxa"/>
            <w:shd w:val="clear" w:color="auto" w:fill="F2F2F2"/>
          </w:tcPr>
          <w:p w:rsidR="00A77B3E">
            <w:pPr>
              <w:pStyle w:val="mqeng"/>
              <w:jc w:val="left"/>
            </w:pPr>
            <w:r>
              <w:rPr>
                <w:noProof/>
              </w:rPr>
              <w:t>Where carbon intensity of the issuer cannot be determined, the Investment Manager may invest if no more than 10% of the issuer’s revenue is from power generation from any fossil fuels, including natural gas).</w:t>
            </w:r>
          </w:p>
        </w:tc>
        <w:tc>
          <w:tcPr>
            <w:tcW w:w="360" w:type="dxa"/>
            <w:shd w:val="clear" w:color="auto" w:fill="auto"/>
          </w:tcPr>
          <w:p w:rsidR="00A77B3E">
            <w:pPr>
              <w:pStyle w:val="mqspa"/>
              <w:jc w:val="left"/>
            </w:pPr>
            <w:r>
              <w:rPr>
                <w:noProof w:val="0"/>
              </w:rPr>
              <w:t>Cuando no pueda determinarse la intensidad de carbono del emisor, el Gestor de Inversiones podrá invertir si los ingresos del emisor que provienen de la generación de energía a partir de cualquier combustible fósil, incluido el gas natural, no superan el 10%.</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392</w:t>
              <w:br/>
            </w:r>
            <w:r>
              <w:rPr>
                <w:noProof/>
                <w:sz w:val="2"/>
              </w:rPr>
              <w:t>42aa603d-3c5c-4d03-90cc-f3635a38f2d1</w:t>
            </w:r>
          </w:p>
        </w:tc>
        <w:tc>
          <w:tcPr>
            <w:tcW w:w="360" w:type="dxa"/>
            <w:shd w:val="clear" w:color="auto" w:fill="F2F2F2"/>
          </w:tcPr>
          <w:p w:rsidR="00A77B3E">
            <w:pPr>
              <w:pStyle w:val="mqeng"/>
              <w:jc w:val="left"/>
            </w:pPr>
            <w:r>
              <w:rPr>
                <w:noProof/>
              </w:rPr>
              <w:t>Companies that derive revenues that generate high carbon emissions or exploit non-renewable resources, either directly or in their supply chain are excluded, unless the company can demonstrate an outstandingly positive response toward environmental and social concerns.</w:t>
            </w:r>
          </w:p>
        </w:tc>
        <w:tc>
          <w:tcPr>
            <w:tcW w:w="360" w:type="dxa"/>
            <w:shd w:val="clear" w:color="auto" w:fill="auto"/>
          </w:tcPr>
          <w:p w:rsidR="00A77B3E">
            <w:pPr>
              <w:pStyle w:val="mqspa"/>
              <w:jc w:val="left"/>
            </w:pPr>
            <w:r>
              <w:rPr>
                <w:noProof w:val="0"/>
              </w:rPr>
              <w:t>Las empresas que obtienen ingresos que generan altas emisiones de carbono o explotan recursos no renovables, ya sea directamente o en su cadena de suministro, están excluidas, a menos que la Compañía pueda demostrar una respuesta excepcionalmente positiva hacia las preocupaciones ambientales y sociales.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393</w:t>
              <w:br/>
            </w:r>
            <w:r>
              <w:rPr>
                <w:noProof/>
                <w:sz w:val="2"/>
              </w:rPr>
              <w:t>fc6f8b22-5a7a-4e98-94f7-ad77789717ef</w:t>
            </w:r>
          </w:p>
        </w:tc>
        <w:tc>
          <w:tcPr>
            <w:tcW w:w="360" w:type="dxa"/>
            <w:shd w:val="clear" w:color="auto" w:fill="F2F2F2"/>
          </w:tcPr>
          <w:p w:rsidR="00A77B3E">
            <w:pPr>
              <w:pStyle w:val="mqeng"/>
              <w:jc w:val="left"/>
            </w:pPr>
            <w:r>
              <w:rPr>
                <w:noProof/>
              </w:rPr>
              <w:t>This includes industries such as cement, fishing, mining, palm oil and timber.</w:t>
            </w:r>
          </w:p>
        </w:tc>
        <w:tc>
          <w:tcPr>
            <w:tcW w:w="360" w:type="dxa"/>
            <w:shd w:val="clear" w:color="auto" w:fill="auto"/>
          </w:tcPr>
          <w:p w:rsidR="00A77B3E">
            <w:pPr>
              <w:pStyle w:val="mqspa"/>
              <w:jc w:val="left"/>
            </w:pPr>
            <w:r>
              <w:rPr>
                <w:noProof w:val="0"/>
              </w:rPr>
              <w:t>Esto incluye industrias como el cemento, la pesca, la minería, el aceite de palma y la madera.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394</w:t>
              <w:br/>
            </w:r>
            <w:r>
              <w:rPr>
                <w:noProof/>
                <w:sz w:val="2"/>
              </w:rPr>
              <w:t>3376c723-0076-45cb-a39b-42ace7c75eac</w:t>
            </w:r>
          </w:p>
        </w:tc>
        <w:tc>
          <w:tcPr>
            <w:tcW w:w="360" w:type="dxa"/>
            <w:shd w:val="clear" w:color="auto" w:fill="F2F2F2"/>
          </w:tcPr>
          <w:p w:rsidR="00A77B3E">
            <w:pPr>
              <w:pStyle w:val="mqeng"/>
              <w:jc w:val="left"/>
            </w:pPr>
            <w:r>
              <w:rPr>
                <w:noProof/>
              </w:rPr>
              <w:t>When the activity relates to a company’s operations, the Investment Manager will seek to gain comfort that the company is taking action to improve its performance or is managing it in an exemplary fashion.</w:t>
            </w:r>
          </w:p>
        </w:tc>
        <w:tc>
          <w:tcPr>
            <w:tcW w:w="360" w:type="dxa"/>
            <w:shd w:val="clear" w:color="auto" w:fill="auto"/>
          </w:tcPr>
          <w:p w:rsidR="00A77B3E">
            <w:pPr>
              <w:pStyle w:val="mqspa"/>
              <w:jc w:val="left"/>
            </w:pPr>
            <w:r>
              <w:rPr>
                <w:noProof w:val="0"/>
              </w:rPr>
              <w:t>Cuando la actividad se relaciona con las operaciones de la Compañía, el Gestor de Inversiones buscará obtener la confianza de que la Compañía está tomando medidas para mejorar su rendimiento o lo está gestionando de manera ejemplar.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395</w:t>
              <w:br/>
            </w:r>
            <w:r>
              <w:rPr>
                <w:noProof/>
                <w:sz w:val="2"/>
              </w:rPr>
              <w:t>88cf8143-49e3-4301-afb4-118ad51c472f</w:t>
            </w:r>
          </w:p>
        </w:tc>
        <w:tc>
          <w:tcPr>
            <w:tcW w:w="360" w:type="dxa"/>
            <w:shd w:val="clear" w:color="auto" w:fill="F2F2F2"/>
          </w:tcPr>
          <w:p w:rsidR="00A77B3E">
            <w:pPr>
              <w:pStyle w:val="mqeng"/>
              <w:jc w:val="left"/>
            </w:pPr>
            <w:r>
              <w:rPr>
                <w:noProof/>
              </w:rPr>
              <w:t>Any company with a persistent record of misconduct relating to GHG emissions will be excluded unless there is clear evidence of significant progress.</w:t>
            </w:r>
          </w:p>
        </w:tc>
        <w:tc>
          <w:tcPr>
            <w:tcW w:w="360" w:type="dxa"/>
            <w:shd w:val="clear" w:color="auto" w:fill="auto"/>
          </w:tcPr>
          <w:p w:rsidR="00A77B3E">
            <w:pPr>
              <w:pStyle w:val="mqspa"/>
              <w:jc w:val="left"/>
            </w:pPr>
            <w:r>
              <w:rPr>
                <w:noProof w:val="0"/>
              </w:rPr>
              <w:t>Cualquier empresa con una conducta persistente de mala conducta relacionada con las emisiones de GEI será excluida a menos que haya prueba clara de progresos significativos.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396</w:t>
              <w:br/>
            </w:r>
            <w:r>
              <w:rPr>
                <w:noProof/>
                <w:sz w:val="2"/>
              </w:rPr>
              <w:t>cfdbe8e2-e90b-48ab-8134-6cf8aec28ef7</w:t>
            </w:r>
          </w:p>
        </w:tc>
        <w:tc>
          <w:tcPr>
            <w:tcW w:w="360" w:type="dxa"/>
            <w:shd w:val="clear" w:color="auto" w:fill="F2F2F2"/>
          </w:tcPr>
          <w:p w:rsidR="00A77B3E">
            <w:pPr>
              <w:pStyle w:val="mqeng"/>
              <w:jc w:val="left"/>
            </w:pPr>
            <w:r>
              <w:rPr>
                <w:noProof/>
              </w:rPr>
              <w:t>The Investment Manager aims to maintain a carbon footprint and carbon intensity that is at least 20% below the  S&amp;P 500 primarily through the exclusion of high emitting sectors, the consideration of carbon emissions as part of the pre-investment ESG analysis, and the engagement program with portfolio companies in which the investment Manager prioritises climate strategy and emissions reductions.</w:t>
            </w:r>
          </w:p>
        </w:tc>
        <w:tc>
          <w:tcPr>
            <w:tcW w:w="360" w:type="dxa"/>
            <w:shd w:val="clear" w:color="auto" w:fill="auto"/>
          </w:tcPr>
          <w:p w:rsidR="00A77B3E">
            <w:pPr>
              <w:pStyle w:val="mqspa"/>
              <w:jc w:val="left"/>
            </w:pPr>
            <w:r>
              <w:rPr>
                <w:noProof w:val="0"/>
              </w:rPr>
              <w:t>El Gestor de Inversiones tiene como objetivo mantener una huella de carbono y una intensidad de carbono que sea al menos un 20% inferior al S&amp;P 500, principalmente a través de la exclusión de sectores de alta emisión, la consideración de las emisiones de carbono como parte del análisis ESG previo a la inversión, y el programa de compromiso con las empresas de la cartera en el que el Gestor de Inversiones prioriza la estrategia climática y la reducción de emisiones.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397</w:t>
              <w:br/>
            </w:r>
            <w:r>
              <w:rPr>
                <w:noProof/>
                <w:sz w:val="2"/>
              </w:rPr>
              <w:t>a1f0eebe-c89f-4da7-92f1-83ae5087fa5a</w:t>
            </w:r>
          </w:p>
        </w:tc>
        <w:tc>
          <w:tcPr>
            <w:tcW w:w="360" w:type="dxa"/>
            <w:shd w:val="clear" w:color="auto" w:fill="F2F2F2"/>
          </w:tcPr>
          <w:p w:rsidR="00A77B3E">
            <w:pPr>
              <w:pStyle w:val="mqeng"/>
              <w:jc w:val="left"/>
            </w:pPr>
            <w:r>
              <w:rPr>
                <w:b/>
                <w:i w:val="0"/>
                <w:noProof/>
                <w:u w:val="none"/>
                <w:vertAlign w:val="baseline"/>
              </w:rPr>
              <w:t>Carbon Footprint</w:t>
            </w:r>
          </w:p>
        </w:tc>
        <w:tc>
          <w:tcPr>
            <w:tcW w:w="360" w:type="dxa"/>
            <w:shd w:val="clear" w:color="auto" w:fill="auto"/>
          </w:tcPr>
          <w:p w:rsidR="00A77B3E">
            <w:pPr>
              <w:pStyle w:val="mqspa"/>
              <w:jc w:val="left"/>
            </w:pPr>
            <w:r>
              <w:rPr>
                <w:b/>
                <w:i w:val="0"/>
                <w:noProof w:val="0"/>
                <w:u w:val="none"/>
                <w:vertAlign w:val="baseline"/>
              </w:rPr>
              <w:t>Huella de carbono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398</w:t>
              <w:br/>
            </w:r>
            <w:r>
              <w:rPr>
                <w:noProof/>
                <w:sz w:val="2"/>
              </w:rPr>
              <w:t>0d538420-b826-445f-9756-0b102ece713c</w:t>
            </w:r>
          </w:p>
        </w:tc>
        <w:tc>
          <w:tcPr>
            <w:tcW w:w="360" w:type="dxa"/>
            <w:shd w:val="clear" w:color="auto" w:fill="F2F2F2"/>
          </w:tcPr>
          <w:p w:rsidR="00A77B3E">
            <w:pPr>
              <w:pStyle w:val="mqeng"/>
              <w:jc w:val="left"/>
            </w:pPr>
            <w:r>
              <w:rPr>
                <w:b/>
                <w:i w:val="0"/>
                <w:noProof/>
                <w:u w:val="none"/>
                <w:vertAlign w:val="baseline"/>
              </w:rPr>
              <w:t>GHG Intensity of Investee Companies</w:t>
            </w:r>
          </w:p>
        </w:tc>
        <w:tc>
          <w:tcPr>
            <w:tcW w:w="360" w:type="dxa"/>
            <w:shd w:val="clear" w:color="auto" w:fill="auto"/>
          </w:tcPr>
          <w:p w:rsidR="00A77B3E">
            <w:pPr>
              <w:pStyle w:val="mqspa"/>
              <w:jc w:val="left"/>
            </w:pPr>
            <w:r>
              <w:rPr>
                <w:b/>
                <w:i w:val="0"/>
                <w:noProof w:val="0"/>
                <w:u w:val="none"/>
                <w:vertAlign w:val="baseline"/>
              </w:rPr>
              <w:t>Intensidad de GEI de las Sociedades Investee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399</w:t>
              <w:br/>
            </w:r>
            <w:r>
              <w:rPr>
                <w:noProof/>
                <w:sz w:val="2"/>
              </w:rPr>
              <w:t>3d758630-f88c-4631-a106-903155aa71dc</w:t>
            </w:r>
          </w:p>
        </w:tc>
        <w:tc>
          <w:tcPr>
            <w:tcW w:w="360" w:type="dxa"/>
            <w:shd w:val="clear" w:color="auto" w:fill="F2F2F2"/>
          </w:tcPr>
          <w:p w:rsidR="00A77B3E">
            <w:pPr>
              <w:pStyle w:val="mqeng"/>
              <w:jc w:val="left"/>
            </w:pPr>
            <w:r>
              <w:rPr>
                <w:b/>
                <w:i w:val="0"/>
                <w:noProof/>
                <w:u w:val="none"/>
                <w:vertAlign w:val="baseline"/>
              </w:rPr>
              <w:t>Exposure to companies active in fossil fuel sector</w:t>
            </w:r>
          </w:p>
        </w:tc>
        <w:tc>
          <w:tcPr>
            <w:tcW w:w="360" w:type="dxa"/>
            <w:shd w:val="clear" w:color="auto" w:fill="auto"/>
          </w:tcPr>
          <w:p w:rsidR="00A77B3E">
            <w:pPr>
              <w:pStyle w:val="mqspa"/>
              <w:jc w:val="left"/>
            </w:pPr>
            <w:r>
              <w:rPr>
                <w:b/>
                <w:i w:val="0"/>
                <w:noProof w:val="0"/>
                <w:u w:val="none"/>
                <w:vertAlign w:val="baseline"/>
              </w:rPr>
              <w:t>Exposición frente a empresas activas en el sector de los combustibles fósiles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400</w:t>
              <w:br/>
            </w:r>
            <w:r>
              <w:rPr>
                <w:noProof/>
                <w:sz w:val="2"/>
              </w:rPr>
              <w:t>9b8f9d52-29f0-4a5c-95df-8ed029f334e4</w:t>
            </w:r>
          </w:p>
        </w:tc>
        <w:tc>
          <w:tcPr>
            <w:tcW w:w="360" w:type="dxa"/>
            <w:shd w:val="clear" w:color="auto" w:fill="F2F2F2"/>
          </w:tcPr>
          <w:p w:rsidR="00A77B3E">
            <w:pPr>
              <w:pStyle w:val="mqeng"/>
              <w:jc w:val="left"/>
            </w:pPr>
            <w:r>
              <w:rPr>
                <w:b/>
                <w:i w:val="0"/>
                <w:noProof/>
                <w:u w:val="none"/>
                <w:vertAlign w:val="baseline"/>
              </w:rPr>
              <w:t>Share of Non-Renewable energy consumption and production</w:t>
            </w:r>
          </w:p>
        </w:tc>
        <w:tc>
          <w:tcPr>
            <w:tcW w:w="360" w:type="dxa"/>
            <w:shd w:val="clear" w:color="auto" w:fill="auto"/>
          </w:tcPr>
          <w:p w:rsidR="00A77B3E">
            <w:pPr>
              <w:pStyle w:val="mqspa"/>
              <w:jc w:val="left"/>
            </w:pPr>
            <w:r>
              <w:rPr>
                <w:b/>
                <w:i w:val="0"/>
                <w:noProof w:val="0"/>
                <w:u w:val="none"/>
                <w:vertAlign w:val="baseline"/>
              </w:rPr>
              <w:t>Proporción de consumo y producción de energía no renovable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401</w:t>
              <w:br/>
            </w:r>
            <w:r>
              <w:rPr>
                <w:noProof/>
                <w:sz w:val="2"/>
              </w:rPr>
              <w:t>a60aa0de-2d0f-491a-b53b-4a55405e54ff</w:t>
            </w:r>
          </w:p>
        </w:tc>
        <w:tc>
          <w:tcPr>
            <w:tcW w:w="360" w:type="dxa"/>
            <w:shd w:val="clear" w:color="auto" w:fill="F2F2F2"/>
          </w:tcPr>
          <w:p w:rsidR="00A77B3E">
            <w:pPr>
              <w:pStyle w:val="mqeng"/>
              <w:jc w:val="left"/>
            </w:pPr>
            <w:r>
              <w:rPr>
                <w:noProof/>
              </w:rPr>
              <w:t>As part of the pre-investment ESG assessment, where data is available, the Investment Manager reviews a company's proportion of non-renewable energy consumption and production.</w:t>
            </w:r>
          </w:p>
        </w:tc>
        <w:tc>
          <w:tcPr>
            <w:tcW w:w="360" w:type="dxa"/>
            <w:shd w:val="clear" w:color="auto" w:fill="auto"/>
          </w:tcPr>
          <w:p w:rsidR="00A77B3E">
            <w:pPr>
              <w:pStyle w:val="mqspa"/>
              <w:jc w:val="left"/>
            </w:pPr>
            <w:r>
              <w:rPr>
                <w:noProof w:val="0"/>
              </w:rPr>
              <w:t>Como parte de la evaluación ASG anterior a la inversión, donde los datos están disponibles, el Gestor de inversiones revisa la proporción de consumo de energía no renovable y producción de energía no renovable de una empresa.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402</w:t>
              <w:br/>
            </w:r>
            <w:r>
              <w:rPr>
                <w:noProof/>
                <w:sz w:val="2"/>
              </w:rPr>
              <w:t>41143b6c-fce0-4c9c-9d54-213feb63c2c4</w:t>
            </w:r>
          </w:p>
        </w:tc>
        <w:tc>
          <w:tcPr>
            <w:tcW w:w="360" w:type="dxa"/>
            <w:shd w:val="clear" w:color="auto" w:fill="F2F2F2"/>
          </w:tcPr>
          <w:p w:rsidR="00A77B3E">
            <w:pPr>
              <w:pStyle w:val="mqeng"/>
              <w:jc w:val="left"/>
            </w:pPr>
            <w:r>
              <w:rPr>
                <w:noProof/>
              </w:rPr>
              <w:t>The Investment Manager seeks to engage to improve performance wherever data is not available, or wherever the proportion of non-renewable energy consumed or produced is more than 20% above the benchmark average for the sector.</w:t>
            </w:r>
          </w:p>
        </w:tc>
        <w:tc>
          <w:tcPr>
            <w:tcW w:w="360" w:type="dxa"/>
            <w:shd w:val="clear" w:color="auto" w:fill="auto"/>
          </w:tcPr>
          <w:p w:rsidR="00A77B3E">
            <w:pPr>
              <w:pStyle w:val="mqspa"/>
              <w:jc w:val="left"/>
            </w:pPr>
            <w:r>
              <w:rPr>
                <w:noProof w:val="0"/>
              </w:rPr>
              <w:t>El Gestor de Inversiones busca involucrarse para mejorar el rendimiento donde los datos no están disponibles, o donde la proporción de energía no renovable consumida o producida es más del 20% superior al promedio de referencia del sector.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403</w:t>
              <w:br/>
            </w:r>
            <w:r>
              <w:rPr>
                <w:noProof/>
                <w:sz w:val="2"/>
              </w:rPr>
              <w:t>09d6242a-37fc-4436-ad31-9135d1108954</w:t>
            </w:r>
          </w:p>
        </w:tc>
        <w:tc>
          <w:tcPr>
            <w:tcW w:w="360" w:type="dxa"/>
            <w:shd w:val="clear" w:color="auto" w:fill="F2F2F2"/>
          </w:tcPr>
          <w:p w:rsidR="00A77B3E">
            <w:pPr>
              <w:pStyle w:val="mqeng"/>
              <w:jc w:val="left"/>
            </w:pPr>
            <w:r>
              <w:rPr>
                <w:b/>
                <w:i w:val="0"/>
                <w:noProof/>
                <w:u w:val="none"/>
                <w:vertAlign w:val="baseline"/>
              </w:rPr>
              <w:t>Energy Consumption intensity per high impact climate sector</w:t>
            </w:r>
          </w:p>
        </w:tc>
        <w:tc>
          <w:tcPr>
            <w:tcW w:w="360" w:type="dxa"/>
            <w:shd w:val="clear" w:color="auto" w:fill="auto"/>
          </w:tcPr>
          <w:p w:rsidR="00A77B3E">
            <w:pPr>
              <w:pStyle w:val="mqspa"/>
              <w:jc w:val="left"/>
            </w:pPr>
            <w:r>
              <w:rPr>
                <w:b/>
                <w:i w:val="0"/>
                <w:noProof w:val="0"/>
                <w:u w:val="none"/>
                <w:vertAlign w:val="baseline"/>
              </w:rPr>
              <w:t>Intensidad de consumo de energía por sector de alto impacto climático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404</w:t>
              <w:br/>
            </w:r>
            <w:r>
              <w:rPr>
                <w:noProof/>
                <w:sz w:val="2"/>
              </w:rPr>
              <w:t>e00f598e-361e-47b5-ab32-9c9eca3ae5f3</w:t>
            </w:r>
          </w:p>
        </w:tc>
        <w:tc>
          <w:tcPr>
            <w:tcW w:w="360" w:type="dxa"/>
            <w:shd w:val="clear" w:color="auto" w:fill="F2F2F2"/>
          </w:tcPr>
          <w:p w:rsidR="00A77B3E">
            <w:pPr>
              <w:pStyle w:val="mqeng"/>
              <w:jc w:val="left"/>
            </w:pPr>
            <w:r>
              <w:rPr>
                <w:noProof/>
              </w:rPr>
              <w:t>As part of the pre-investment ESG assessment for investments in companies in high impact climate sectors, where data is available, the Investment Manager reviews a company's energy consumption.</w:t>
            </w:r>
          </w:p>
        </w:tc>
        <w:tc>
          <w:tcPr>
            <w:tcW w:w="360" w:type="dxa"/>
            <w:shd w:val="clear" w:color="auto" w:fill="auto"/>
          </w:tcPr>
          <w:p w:rsidR="00A77B3E">
            <w:pPr>
              <w:pStyle w:val="mqspa"/>
              <w:jc w:val="left"/>
            </w:pPr>
            <w:r>
              <w:rPr>
                <w:noProof w:val="0"/>
              </w:rPr>
              <w:t>Como parte de la evaluación ASG anterior a la inversión para inversiones en empresas en sectores climáticos de alto impacto, donde hay datos disponibles, el Gestor de inversiones revisa el consumo de energía de una empresa.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405</w:t>
              <w:br/>
            </w:r>
            <w:r>
              <w:rPr>
                <w:noProof/>
                <w:sz w:val="2"/>
              </w:rPr>
              <w:t>4ca05bac-e545-4072-b35b-5fffa2939e43</w:t>
            </w:r>
          </w:p>
        </w:tc>
        <w:tc>
          <w:tcPr>
            <w:tcW w:w="360" w:type="dxa"/>
            <w:shd w:val="clear" w:color="auto" w:fill="F2F2F2"/>
          </w:tcPr>
          <w:p w:rsidR="00A77B3E">
            <w:pPr>
              <w:pStyle w:val="mqeng"/>
              <w:jc w:val="left"/>
            </w:pPr>
            <w:r>
              <w:rPr>
                <w:noProof/>
              </w:rPr>
              <w:t>The Investment Manager seeks to engage to improve performance wherever data is not available, or wherever energy consumption is more than 20% above the benchmark average for the sector.</w:t>
            </w:r>
          </w:p>
        </w:tc>
        <w:tc>
          <w:tcPr>
            <w:tcW w:w="360" w:type="dxa"/>
            <w:shd w:val="clear" w:color="auto" w:fill="auto"/>
          </w:tcPr>
          <w:p w:rsidR="00A77B3E">
            <w:pPr>
              <w:pStyle w:val="mqspa"/>
              <w:jc w:val="left"/>
            </w:pPr>
            <w:r>
              <w:rPr>
                <w:noProof w:val="0"/>
              </w:rPr>
              <w:t>El Gestor de Inversiones busca involucrarse para mejorar el rendimiento donde los datos no estén disponibles, o donde el consumo de energía sea más del 20% superior al promedio de referencia del sector.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406</w:t>
              <w:br/>
            </w:r>
            <w:r>
              <w:rPr>
                <w:noProof/>
                <w:sz w:val="2"/>
              </w:rPr>
              <w:t>d8619b9f-a911-440a-b199-38d904d4c08d</w:t>
            </w:r>
          </w:p>
        </w:tc>
        <w:tc>
          <w:tcPr>
            <w:tcW w:w="360" w:type="dxa"/>
            <w:shd w:val="clear" w:color="auto" w:fill="F2F2F2"/>
          </w:tcPr>
          <w:p w:rsidR="00A77B3E">
            <w:pPr>
              <w:pStyle w:val="mqeng"/>
              <w:jc w:val="left"/>
            </w:pPr>
            <w:r>
              <w:rPr>
                <w:b/>
                <w:i w:val="0"/>
                <w:noProof/>
                <w:u w:val="none"/>
                <w:vertAlign w:val="baseline"/>
              </w:rPr>
              <w:t>Activities negatively affecting bio diversity sensitive areas</w:t>
            </w:r>
          </w:p>
        </w:tc>
        <w:tc>
          <w:tcPr>
            <w:tcW w:w="360" w:type="dxa"/>
            <w:shd w:val="clear" w:color="auto" w:fill="auto"/>
          </w:tcPr>
          <w:p w:rsidR="00A77B3E">
            <w:pPr>
              <w:pStyle w:val="mqspa"/>
              <w:jc w:val="left"/>
            </w:pPr>
            <w:r>
              <w:rPr>
                <w:b/>
                <w:i w:val="0"/>
                <w:noProof w:val="0"/>
                <w:u w:val="none"/>
                <w:vertAlign w:val="baseline"/>
              </w:rPr>
              <w:t>Actividades que afectan negativamente a zonas sensibles en cuanto a la diversidad bio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407</w:t>
              <w:br/>
            </w:r>
            <w:r>
              <w:rPr>
                <w:noProof/>
                <w:sz w:val="2"/>
              </w:rPr>
              <w:t>a939bf28-2736-47ab-a20c-ccbc5b276d73</w:t>
            </w:r>
          </w:p>
        </w:tc>
        <w:tc>
          <w:tcPr>
            <w:tcW w:w="360" w:type="dxa"/>
            <w:shd w:val="clear" w:color="auto" w:fill="F2F2F2"/>
          </w:tcPr>
          <w:p w:rsidR="00A77B3E">
            <w:pPr>
              <w:pStyle w:val="mqeng"/>
              <w:jc w:val="left"/>
            </w:pPr>
            <w:r>
              <w:rPr>
                <w:noProof/>
              </w:rPr>
              <w:t>The Investment Manager avoids investing in sectors and companies with exposure to activities that have high risk with regard to negative impacts on biodiversity, including chemicals of concern, animal testing, the sale of fur, meat &amp; dairy, and intensive farming at a 5% threshold.</w:t>
            </w:r>
          </w:p>
        </w:tc>
        <w:tc>
          <w:tcPr>
            <w:tcW w:w="360" w:type="dxa"/>
            <w:shd w:val="clear" w:color="auto" w:fill="auto"/>
          </w:tcPr>
          <w:p w:rsidR="00A77B3E">
            <w:pPr>
              <w:pStyle w:val="mqspa"/>
              <w:jc w:val="left"/>
            </w:pPr>
            <w:r>
              <w:rPr>
                <w:noProof w:val="0"/>
              </w:rPr>
              <w:t>El Gestor de Inversiones evita invertir en sectores y empresas con exposición a actividades que tienen un alto riesgo en relación con los impactos negativos en la biodiversidad, incluidos los productos químicos de preocupación, la experimentación con animales, la venta de pieles, carne &amp; lácteos y la agricultura intensiva con un umbral del 5%.</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408</w:t>
              <w:br/>
            </w:r>
            <w:r>
              <w:rPr>
                <w:noProof/>
                <w:sz w:val="2"/>
              </w:rPr>
              <w:t>696edffd-5c19-4d53-819d-04b92e6135c8</w:t>
            </w:r>
          </w:p>
        </w:tc>
        <w:tc>
          <w:tcPr>
            <w:tcW w:w="360" w:type="dxa"/>
            <w:shd w:val="clear" w:color="auto" w:fill="F2F2F2"/>
          </w:tcPr>
          <w:p w:rsidR="00A77B3E">
            <w:pPr>
              <w:pStyle w:val="mqeng"/>
              <w:jc w:val="left"/>
            </w:pPr>
            <w:r>
              <w:rPr>
                <w:noProof/>
              </w:rPr>
              <w:t>The Investment Manager also avoids investment in palm oil, timber, fishing, and mining which is avoided subject to a 5% threshold unless the company can demonstrate an outstanding positive response to environmental and social concerns as part of the pre-investment ESG assessment.</w:t>
            </w:r>
          </w:p>
        </w:tc>
        <w:tc>
          <w:tcPr>
            <w:tcW w:w="360" w:type="dxa"/>
            <w:shd w:val="clear" w:color="auto" w:fill="auto"/>
          </w:tcPr>
          <w:p w:rsidR="00A77B3E">
            <w:pPr>
              <w:pStyle w:val="mqspa"/>
              <w:jc w:val="left"/>
            </w:pPr>
            <w:r>
              <w:rPr>
                <w:noProof w:val="0"/>
              </w:rPr>
              <w:t>El Gestor de inversiones también evita la inversión en aceite de palma, madera, pesca y minería, lo cual se evita sujeto a un umbral del 5%, a menos que la Compañía pueda demostrar una respuesta positiva excepcional a las preocupaciones medioambientales y sociales como parte de la evaluación previa de la inversión ASG.</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409</w:t>
              <w:br/>
            </w:r>
            <w:r>
              <w:rPr>
                <w:noProof/>
                <w:sz w:val="2"/>
              </w:rPr>
              <w:t>f4551cc4-09b5-4d08-adbe-bf91bb2a2975</w:t>
            </w:r>
          </w:p>
        </w:tc>
        <w:tc>
          <w:tcPr>
            <w:tcW w:w="360" w:type="dxa"/>
            <w:shd w:val="clear" w:color="auto" w:fill="F2F2F2"/>
          </w:tcPr>
          <w:p w:rsidR="00A77B3E">
            <w:pPr>
              <w:pStyle w:val="mqeng"/>
              <w:jc w:val="left"/>
            </w:pPr>
            <w:r>
              <w:rPr>
                <w:b/>
                <w:i w:val="0"/>
                <w:noProof/>
                <w:u w:val="none"/>
                <w:vertAlign w:val="baseline"/>
              </w:rPr>
              <w:t>Emissions to water</w:t>
            </w:r>
          </w:p>
        </w:tc>
        <w:tc>
          <w:tcPr>
            <w:tcW w:w="360" w:type="dxa"/>
            <w:shd w:val="clear" w:color="auto" w:fill="auto"/>
          </w:tcPr>
          <w:p w:rsidR="00A77B3E">
            <w:pPr>
              <w:pStyle w:val="mqspa"/>
              <w:jc w:val="left"/>
            </w:pPr>
            <w:r>
              <w:rPr>
                <w:b/>
                <w:i w:val="0"/>
                <w:noProof w:val="0"/>
                <w:u w:val="none"/>
                <w:vertAlign w:val="baseline"/>
              </w:rPr>
              <w:t>Emisiones al agua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410</w:t>
              <w:br/>
            </w:r>
            <w:r>
              <w:rPr>
                <w:noProof/>
                <w:sz w:val="2"/>
              </w:rPr>
              <w:t>2e0365a6-460a-45ef-93a8-dd912a2c302c</w:t>
            </w:r>
          </w:p>
        </w:tc>
        <w:tc>
          <w:tcPr>
            <w:tcW w:w="360" w:type="dxa"/>
            <w:shd w:val="clear" w:color="auto" w:fill="F2F2F2"/>
          </w:tcPr>
          <w:p w:rsidR="00A77B3E">
            <w:pPr>
              <w:pStyle w:val="mqeng"/>
              <w:jc w:val="left"/>
            </w:pPr>
            <w:r>
              <w:rPr>
                <w:noProof/>
              </w:rPr>
              <w:t>The Investment Manager will engage if water emissions are deemed material and the relevant metric is not reported or if the reported data is of insufficient quality.</w:t>
            </w:r>
          </w:p>
        </w:tc>
        <w:tc>
          <w:tcPr>
            <w:tcW w:w="360" w:type="dxa"/>
            <w:shd w:val="clear" w:color="auto" w:fill="auto"/>
          </w:tcPr>
          <w:p w:rsidR="00A77B3E">
            <w:pPr>
              <w:pStyle w:val="mqspa"/>
              <w:jc w:val="left"/>
            </w:pPr>
            <w:r>
              <w:rPr>
                <w:noProof w:val="0"/>
              </w:rPr>
              <w:t>El Gestor de inversiones intervendrá si las emisiones de agua se consideran importantes y la métrica correspondiente no se informa o si los datos declarados son insuficientes.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411</w:t>
              <w:br/>
            </w:r>
            <w:r>
              <w:rPr>
                <w:noProof/>
                <w:sz w:val="2"/>
              </w:rPr>
              <w:t>aac02f2b-b000-415c-9b77-b3004fd55186</w:t>
            </w:r>
          </w:p>
        </w:tc>
        <w:tc>
          <w:tcPr>
            <w:tcW w:w="360" w:type="dxa"/>
            <w:shd w:val="clear" w:color="auto" w:fill="F2F2F2"/>
          </w:tcPr>
          <w:p w:rsidR="00A77B3E">
            <w:pPr>
              <w:pStyle w:val="mqeng"/>
              <w:jc w:val="left"/>
            </w:pPr>
            <w:r>
              <w:rPr>
                <w:noProof/>
              </w:rPr>
              <w:t>A review of recent controversies is included in the assessment.</w:t>
            </w:r>
          </w:p>
        </w:tc>
        <w:tc>
          <w:tcPr>
            <w:tcW w:w="360" w:type="dxa"/>
            <w:shd w:val="clear" w:color="auto" w:fill="auto"/>
          </w:tcPr>
          <w:p w:rsidR="00A77B3E">
            <w:pPr>
              <w:pStyle w:val="mqspa"/>
              <w:jc w:val="left"/>
            </w:pPr>
            <w:r>
              <w:rPr>
                <w:noProof w:val="0"/>
              </w:rPr>
              <w:t>Se incluye una evaluación de controversias recientes.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412</w:t>
              <w:br/>
            </w:r>
            <w:r>
              <w:rPr>
                <w:noProof/>
                <w:sz w:val="2"/>
              </w:rPr>
              <w:t>ea552056-6635-4ef4-a4d0-b6a68a4fcc30</w:t>
            </w:r>
          </w:p>
        </w:tc>
        <w:tc>
          <w:tcPr>
            <w:tcW w:w="360" w:type="dxa"/>
            <w:shd w:val="clear" w:color="auto" w:fill="F2F2F2"/>
          </w:tcPr>
          <w:p w:rsidR="00A77B3E">
            <w:pPr>
              <w:pStyle w:val="mqeng"/>
              <w:jc w:val="left"/>
            </w:pPr>
            <w:r>
              <w:rPr>
                <w:noProof/>
              </w:rPr>
              <w:t>The Investment Manager’s process is as follows:</w:t>
            </w:r>
          </w:p>
        </w:tc>
        <w:tc>
          <w:tcPr>
            <w:tcW w:w="360" w:type="dxa"/>
            <w:shd w:val="clear" w:color="auto" w:fill="auto"/>
          </w:tcPr>
          <w:p w:rsidR="00A77B3E">
            <w:pPr>
              <w:pStyle w:val="mqspa"/>
              <w:jc w:val="left"/>
            </w:pPr>
            <w:r>
              <w:rPr>
                <w:noProof w:val="0"/>
              </w:rPr>
              <w:t>El proceso del Gestor de inversiones es el siguiente: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413</w:t>
              <w:br/>
            </w:r>
            <w:r>
              <w:rPr>
                <w:noProof/>
                <w:sz w:val="2"/>
              </w:rPr>
              <w:t>df9e156a-4adb-4dbf-98d5-527b1968bb34</w:t>
            </w:r>
          </w:p>
        </w:tc>
        <w:tc>
          <w:tcPr>
            <w:tcW w:w="360" w:type="dxa"/>
            <w:shd w:val="clear" w:color="auto" w:fill="F2F2F2"/>
          </w:tcPr>
          <w:p w:rsidR="00A77B3E">
            <w:pPr>
              <w:pStyle w:val="mqeng"/>
              <w:jc w:val="left"/>
            </w:pPr>
            <w:r>
              <w:rPr>
                <w:noProof/>
              </w:rPr>
              <w:t>1)</w:t>
            </w:r>
            <w:r>
              <w:rPr>
                <w:rStyle w:val="mqInternal"/>
                <w:b w:val="0"/>
                <w:i w:val="0"/>
                <w:noProof/>
                <w:u w:val="none"/>
                <w:vertAlign w:val="baseline"/>
              </w:rPr>
              <w:t>[1]</w:t>
            </w:r>
            <w:r>
              <w:rPr>
                <w:noProof/>
              </w:rPr>
              <w:t>The dedicated sustainability analyst assesses if water emissions is material to the sub-sector/company in question</w:t>
            </w:r>
          </w:p>
        </w:tc>
        <w:tc>
          <w:tcPr>
            <w:tcW w:w="360" w:type="dxa"/>
            <w:shd w:val="clear" w:color="auto" w:fill="auto"/>
          </w:tcPr>
          <w:p w:rsidR="00A77B3E">
            <w:pPr>
              <w:pStyle w:val="mqspa"/>
              <w:jc w:val="left"/>
            </w:pPr>
            <w:r>
              <w:rPr>
                <w:noProof w:val="0"/>
              </w:rPr>
              <w:t>1)</w:t>
            </w:r>
            <w:r>
              <w:rPr>
                <w:rStyle w:val="mqInternal"/>
                <w:b w:val="0"/>
                <w:i w:val="0"/>
                <w:noProof/>
                <w:u w:val="none"/>
                <w:vertAlign w:val="baseline"/>
              </w:rPr>
              <w:t>[1]</w:t>
            </w:r>
            <w:r>
              <w:rPr>
                <w:noProof w:val="0"/>
              </w:rPr>
              <w:t>El analista de sostenibilidad dedicado evalúa si las emisiones de agua son materiales para el subsector/empresa en cuestión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414</w:t>
              <w:br/>
            </w:r>
            <w:r>
              <w:rPr>
                <w:noProof/>
                <w:sz w:val="2"/>
              </w:rPr>
              <w:t>8790850b-bdcb-4b68-955a-d95fb9008b09</w:t>
            </w:r>
          </w:p>
        </w:tc>
        <w:tc>
          <w:tcPr>
            <w:tcW w:w="360" w:type="dxa"/>
            <w:shd w:val="clear" w:color="auto" w:fill="F2F2F2"/>
          </w:tcPr>
          <w:p w:rsidR="00A77B3E">
            <w:pPr>
              <w:pStyle w:val="mqeng"/>
              <w:jc w:val="left"/>
            </w:pPr>
            <w:r>
              <w:rPr>
                <w:noProof/>
              </w:rPr>
              <w:t xml:space="preserve">2) </w:t>
            </w:r>
            <w:r>
              <w:rPr>
                <w:rStyle w:val="mqInternal"/>
                <w:b w:val="0"/>
                <w:i w:val="0"/>
                <w:noProof/>
                <w:u w:val="none"/>
                <w:vertAlign w:val="baseline"/>
              </w:rPr>
              <w:t>[1]</w:t>
            </w:r>
            <w:r>
              <w:rPr>
                <w:noProof/>
              </w:rPr>
              <w:t>The data, including reporting to CDP on water, is flagged as part of the internal data monitoring</w:t>
            </w:r>
          </w:p>
        </w:tc>
        <w:tc>
          <w:tcPr>
            <w:tcW w:w="360" w:type="dxa"/>
            <w:shd w:val="clear" w:color="auto" w:fill="auto"/>
          </w:tcPr>
          <w:p w:rsidR="00A77B3E">
            <w:pPr>
              <w:pStyle w:val="mqspa"/>
              <w:jc w:val="left"/>
            </w:pPr>
            <w:r>
              <w:rPr>
                <w:noProof w:val="0"/>
              </w:rPr>
              <w:t xml:space="preserve">2) </w:t>
            </w:r>
            <w:r>
              <w:rPr>
                <w:rStyle w:val="mqInternal"/>
                <w:b w:val="0"/>
                <w:i w:val="0"/>
                <w:noProof/>
                <w:u w:val="none"/>
                <w:vertAlign w:val="baseline"/>
              </w:rPr>
              <w:t>[1]</w:t>
            </w:r>
            <w:r>
              <w:rPr>
                <w:noProof w:val="0"/>
              </w:rPr>
              <w:t>Los datos, incluyendo la presentación de informes a CDP sobre el agua, están señalados como parte del monitoreo interno de datos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415</w:t>
              <w:br/>
            </w:r>
            <w:r>
              <w:rPr>
                <w:noProof/>
                <w:sz w:val="2"/>
              </w:rPr>
              <w:t>19e304da-9598-46a7-9951-96353d1f540b</w:t>
            </w:r>
          </w:p>
        </w:tc>
        <w:tc>
          <w:tcPr>
            <w:tcW w:w="360" w:type="dxa"/>
            <w:shd w:val="clear" w:color="auto" w:fill="F2F2F2"/>
          </w:tcPr>
          <w:p w:rsidR="00A77B3E">
            <w:pPr>
              <w:pStyle w:val="mqeng"/>
              <w:jc w:val="left"/>
            </w:pPr>
            <w:r>
              <w:rPr>
                <w:noProof/>
              </w:rPr>
              <w:t>3)</w:t>
            </w:r>
            <w:r>
              <w:rPr>
                <w:rStyle w:val="mqInternal"/>
                <w:b w:val="0"/>
                <w:i w:val="0"/>
                <w:noProof/>
                <w:u w:val="none"/>
                <w:vertAlign w:val="baseline"/>
              </w:rPr>
              <w:t>[1]</w:t>
            </w:r>
            <w:r>
              <w:rPr>
                <w:noProof/>
              </w:rPr>
              <w:t>A data quality check is conducted</w:t>
            </w:r>
          </w:p>
        </w:tc>
        <w:tc>
          <w:tcPr>
            <w:tcW w:w="360" w:type="dxa"/>
            <w:shd w:val="clear" w:color="auto" w:fill="auto"/>
          </w:tcPr>
          <w:p w:rsidR="00A77B3E">
            <w:pPr>
              <w:pStyle w:val="mqspa"/>
              <w:jc w:val="left"/>
            </w:pPr>
            <w:r>
              <w:rPr>
                <w:noProof w:val="0"/>
              </w:rPr>
              <w:t>3)</w:t>
            </w:r>
            <w:r>
              <w:rPr>
                <w:rStyle w:val="mqInternal"/>
                <w:b w:val="0"/>
                <w:i w:val="0"/>
                <w:noProof/>
                <w:u w:val="none"/>
                <w:vertAlign w:val="baseline"/>
              </w:rPr>
              <w:t>[1]</w:t>
            </w:r>
            <w:r>
              <w:rPr>
                <w:noProof w:val="0"/>
              </w:rPr>
              <w:t>Se realiza una comprobación de la calidad de los datos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416</w:t>
              <w:br/>
            </w:r>
            <w:r>
              <w:rPr>
                <w:noProof/>
                <w:sz w:val="2"/>
              </w:rPr>
              <w:t>a7044292-3854-4a9d-ba31-b678ed95e7f5</w:t>
            </w:r>
          </w:p>
        </w:tc>
        <w:tc>
          <w:tcPr>
            <w:tcW w:w="360" w:type="dxa"/>
            <w:shd w:val="clear" w:color="auto" w:fill="F2F2F2"/>
          </w:tcPr>
          <w:p w:rsidR="00A77B3E">
            <w:pPr>
              <w:pStyle w:val="mqeng"/>
              <w:jc w:val="left"/>
            </w:pPr>
            <w:r>
              <w:rPr>
                <w:noProof/>
              </w:rPr>
              <w:t>4)</w:t>
            </w:r>
            <w:r>
              <w:rPr>
                <w:rStyle w:val="mqInternal"/>
                <w:b w:val="0"/>
                <w:i w:val="0"/>
                <w:noProof/>
                <w:u w:val="none"/>
                <w:vertAlign w:val="baseline"/>
              </w:rPr>
              <w:t>[1]</w:t>
            </w:r>
            <w:r>
              <w:rPr>
                <w:noProof/>
              </w:rPr>
              <w:t>If there is no disclosure, if data quality is deemed insufficient, or if a material outstanding controversy is deemed unresolved, the Investment Manager will engage</w:t>
            </w:r>
          </w:p>
        </w:tc>
        <w:tc>
          <w:tcPr>
            <w:tcW w:w="360" w:type="dxa"/>
            <w:shd w:val="clear" w:color="auto" w:fill="auto"/>
          </w:tcPr>
          <w:p w:rsidR="00A77B3E">
            <w:pPr>
              <w:pStyle w:val="mqspa"/>
              <w:jc w:val="left"/>
            </w:pPr>
            <w:r>
              <w:rPr>
                <w:noProof w:val="0"/>
              </w:rPr>
              <w:t>4)</w:t>
            </w:r>
            <w:r>
              <w:rPr>
                <w:rStyle w:val="mqInternal"/>
                <w:b w:val="0"/>
                <w:i w:val="0"/>
                <w:noProof/>
                <w:u w:val="none"/>
                <w:vertAlign w:val="baseline"/>
              </w:rPr>
              <w:t>[1]</w:t>
            </w:r>
            <w:r>
              <w:rPr>
                <w:noProof w:val="0"/>
              </w:rPr>
              <w:t>Si no hay divulgación de información, si la calidad de los datos se considera insuficiente, o si se considera que hay una controversia de material pendiente no resuelta, el Gestor de inversiones se comprometerá</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417</w:t>
              <w:br/>
            </w:r>
            <w:r>
              <w:rPr>
                <w:noProof/>
                <w:sz w:val="2"/>
              </w:rPr>
              <w:t>d43717d7-978b-4bed-a435-30a92babec22</w:t>
            </w:r>
          </w:p>
        </w:tc>
        <w:tc>
          <w:tcPr>
            <w:tcW w:w="360" w:type="dxa"/>
            <w:shd w:val="clear" w:color="auto" w:fill="F2F2F2"/>
          </w:tcPr>
          <w:p w:rsidR="00A77B3E">
            <w:pPr>
              <w:pStyle w:val="mqeng"/>
              <w:jc w:val="left"/>
            </w:pPr>
            <w:r>
              <w:rPr>
                <w:b/>
                <w:i w:val="0"/>
                <w:noProof/>
                <w:u w:val="none"/>
                <w:vertAlign w:val="baseline"/>
              </w:rPr>
              <w:t>Hazardous waste ratio</w:t>
            </w:r>
          </w:p>
        </w:tc>
        <w:tc>
          <w:tcPr>
            <w:tcW w:w="360" w:type="dxa"/>
            <w:shd w:val="clear" w:color="auto" w:fill="auto"/>
          </w:tcPr>
          <w:p w:rsidR="00A77B3E">
            <w:pPr>
              <w:pStyle w:val="mqspa"/>
              <w:jc w:val="left"/>
            </w:pPr>
            <w:r>
              <w:rPr>
                <w:b/>
                <w:i w:val="0"/>
                <w:noProof w:val="0"/>
                <w:u w:val="none"/>
                <w:vertAlign w:val="baseline"/>
              </w:rPr>
              <w:t>Ratio de residuos peligrosos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418</w:t>
              <w:br/>
            </w:r>
            <w:r>
              <w:rPr>
                <w:noProof/>
                <w:sz w:val="2"/>
              </w:rPr>
              <w:t>374d99fb-0ac2-4cff-ada5-109348d00b48</w:t>
            </w:r>
          </w:p>
        </w:tc>
        <w:tc>
          <w:tcPr>
            <w:tcW w:w="360" w:type="dxa"/>
            <w:shd w:val="clear" w:color="auto" w:fill="F2F2F2"/>
          </w:tcPr>
          <w:p w:rsidR="00A77B3E">
            <w:pPr>
              <w:pStyle w:val="mqeng"/>
              <w:jc w:val="left"/>
            </w:pPr>
            <w:r>
              <w:rPr>
                <w:noProof/>
              </w:rPr>
              <w:t>The Investment Manager will engage if hazardous waste ratio is deemed material, if the relevant metric is not reported, or if the reported data is of insufficient quality.</w:t>
            </w:r>
          </w:p>
        </w:tc>
        <w:tc>
          <w:tcPr>
            <w:tcW w:w="360" w:type="dxa"/>
            <w:shd w:val="clear" w:color="auto" w:fill="auto"/>
          </w:tcPr>
          <w:p w:rsidR="00A77B3E">
            <w:pPr>
              <w:pStyle w:val="mqspa"/>
              <w:jc w:val="left"/>
            </w:pPr>
            <w:r>
              <w:rPr>
                <w:noProof w:val="0"/>
              </w:rPr>
              <w:t>El Gestor de inversiones intervendrá si el ratio de residuos peligrosos se considera material, si la métrica correspondiente no se informa, o si los datos declarados son insuficientes.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419</w:t>
              <w:br/>
            </w:r>
            <w:r>
              <w:rPr>
                <w:noProof/>
                <w:sz w:val="2"/>
              </w:rPr>
              <w:t>b3d55f53-13db-4dbb-a314-f21d77d443e8</w:t>
            </w:r>
          </w:p>
        </w:tc>
        <w:tc>
          <w:tcPr>
            <w:tcW w:w="360" w:type="dxa"/>
            <w:shd w:val="clear" w:color="auto" w:fill="F2F2F2"/>
          </w:tcPr>
          <w:p w:rsidR="00A77B3E">
            <w:pPr>
              <w:pStyle w:val="mqeng"/>
              <w:jc w:val="left"/>
            </w:pPr>
            <w:r>
              <w:rPr>
                <w:noProof/>
              </w:rPr>
              <w:t>An assessment of recent controversies is included in the assessment.</w:t>
            </w:r>
          </w:p>
        </w:tc>
        <w:tc>
          <w:tcPr>
            <w:tcW w:w="360" w:type="dxa"/>
            <w:shd w:val="clear" w:color="auto" w:fill="auto"/>
          </w:tcPr>
          <w:p w:rsidR="00A77B3E">
            <w:pPr>
              <w:pStyle w:val="mqspa"/>
              <w:jc w:val="left"/>
            </w:pPr>
            <w:r>
              <w:rPr>
                <w:noProof w:val="0"/>
              </w:rPr>
              <w:t>Se incluye una evaluación de las controversias recientes en la evaluación.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420</w:t>
              <w:br/>
            </w:r>
            <w:r>
              <w:rPr>
                <w:noProof/>
                <w:sz w:val="2"/>
              </w:rPr>
              <w:t>f84bdef3-7ab8-4dec-a0d3-8a61ba03e36d</w:t>
            </w:r>
          </w:p>
        </w:tc>
        <w:tc>
          <w:tcPr>
            <w:tcW w:w="360" w:type="dxa"/>
            <w:shd w:val="clear" w:color="auto" w:fill="F2F2F2"/>
          </w:tcPr>
          <w:p w:rsidR="00A77B3E">
            <w:pPr>
              <w:pStyle w:val="mqeng"/>
              <w:jc w:val="left"/>
            </w:pPr>
            <w:r>
              <w:rPr>
                <w:noProof/>
              </w:rPr>
              <w:t>The Investment Manager’s process is as follows:</w:t>
            </w:r>
          </w:p>
        </w:tc>
        <w:tc>
          <w:tcPr>
            <w:tcW w:w="360" w:type="dxa"/>
            <w:shd w:val="clear" w:color="auto" w:fill="auto"/>
          </w:tcPr>
          <w:p w:rsidR="00A77B3E">
            <w:pPr>
              <w:pStyle w:val="mqspa"/>
              <w:jc w:val="left"/>
            </w:pPr>
            <w:r>
              <w:rPr>
                <w:noProof w:val="0"/>
              </w:rPr>
              <w:t>El proceso del Gestor de inversiones es el siguiente: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421</w:t>
              <w:br/>
            </w:r>
            <w:r>
              <w:rPr>
                <w:noProof/>
                <w:sz w:val="2"/>
              </w:rPr>
              <w:t>bea21e9e-3334-4c49-89aa-0f197f03f027</w:t>
            </w:r>
          </w:p>
        </w:tc>
        <w:tc>
          <w:tcPr>
            <w:tcW w:w="360" w:type="dxa"/>
            <w:shd w:val="clear" w:color="auto" w:fill="F2F2F2"/>
          </w:tcPr>
          <w:p w:rsidR="00A77B3E">
            <w:pPr>
              <w:pStyle w:val="mqeng"/>
              <w:jc w:val="left"/>
            </w:pPr>
            <w:r>
              <w:rPr>
                <w:noProof/>
              </w:rPr>
              <w:t>1)</w:t>
            </w:r>
            <w:r>
              <w:rPr>
                <w:rStyle w:val="mqInternal"/>
                <w:b w:val="0"/>
                <w:i w:val="0"/>
                <w:noProof/>
                <w:u w:val="none"/>
                <w:vertAlign w:val="baseline"/>
              </w:rPr>
              <w:t>[1]</w:t>
            </w:r>
            <w:r>
              <w:rPr>
                <w:noProof/>
              </w:rPr>
              <w:t>The dedicated sustainability analyst assesses if hazardous waste is material to the sub-sector/company in question</w:t>
            </w:r>
          </w:p>
        </w:tc>
        <w:tc>
          <w:tcPr>
            <w:tcW w:w="360" w:type="dxa"/>
            <w:shd w:val="clear" w:color="auto" w:fill="auto"/>
          </w:tcPr>
          <w:p w:rsidR="00A77B3E">
            <w:pPr>
              <w:pStyle w:val="mqspa"/>
              <w:jc w:val="left"/>
            </w:pPr>
            <w:r>
              <w:rPr>
                <w:noProof w:val="0"/>
              </w:rPr>
              <w:t>1)</w:t>
            </w:r>
            <w:r>
              <w:rPr>
                <w:rStyle w:val="mqInternal"/>
                <w:b w:val="0"/>
                <w:i w:val="0"/>
                <w:noProof/>
                <w:u w:val="none"/>
                <w:vertAlign w:val="baseline"/>
              </w:rPr>
              <w:t>[1]</w:t>
            </w:r>
            <w:r>
              <w:rPr>
                <w:noProof w:val="0"/>
              </w:rPr>
              <w:t>El analista de sostenibilidad dedicado evalúa si los residuos peligrosos son materiales para el subsector/empresa en cuestión</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422</w:t>
              <w:br/>
            </w:r>
            <w:r>
              <w:rPr>
                <w:noProof/>
                <w:sz w:val="2"/>
              </w:rPr>
              <w:t>4c26ff66-f80f-4379-ac82-a30583717f55</w:t>
            </w:r>
          </w:p>
        </w:tc>
        <w:tc>
          <w:tcPr>
            <w:tcW w:w="360" w:type="dxa"/>
            <w:shd w:val="clear" w:color="auto" w:fill="F2F2F2"/>
          </w:tcPr>
          <w:p w:rsidR="00A77B3E">
            <w:pPr>
              <w:pStyle w:val="mqeng"/>
              <w:jc w:val="left"/>
            </w:pPr>
            <w:r>
              <w:rPr>
                <w:noProof/>
              </w:rPr>
              <w:t>2)</w:t>
            </w:r>
            <w:r>
              <w:rPr>
                <w:rStyle w:val="mqInternal"/>
                <w:b w:val="0"/>
                <w:i w:val="0"/>
                <w:noProof/>
                <w:u w:val="none"/>
                <w:vertAlign w:val="baseline"/>
              </w:rPr>
              <w:t>[1]</w:t>
            </w:r>
            <w:r>
              <w:rPr>
                <w:noProof/>
              </w:rPr>
              <w:t>The data is flagged as part of the internal data monitoring</w:t>
            </w:r>
          </w:p>
        </w:tc>
        <w:tc>
          <w:tcPr>
            <w:tcW w:w="360" w:type="dxa"/>
            <w:shd w:val="clear" w:color="auto" w:fill="auto"/>
          </w:tcPr>
          <w:p w:rsidR="00A77B3E">
            <w:pPr>
              <w:pStyle w:val="mqspa"/>
              <w:jc w:val="left"/>
            </w:pPr>
            <w:r>
              <w:rPr>
                <w:noProof w:val="0"/>
              </w:rPr>
              <w:t>2)</w:t>
            </w:r>
            <w:r>
              <w:rPr>
                <w:rStyle w:val="mqInternal"/>
                <w:b w:val="0"/>
                <w:i w:val="0"/>
                <w:noProof/>
                <w:u w:val="none"/>
                <w:vertAlign w:val="baseline"/>
              </w:rPr>
              <w:t>[1]</w:t>
            </w:r>
            <w:r>
              <w:rPr>
                <w:noProof w:val="0"/>
              </w:rPr>
              <w:t>Los datos están marcados como parte de la supervisión interna de los datos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423</w:t>
              <w:br/>
            </w:r>
            <w:r>
              <w:rPr>
                <w:noProof/>
                <w:sz w:val="2"/>
              </w:rPr>
              <w:t>bc70ad1d-c60d-4bd8-82a9-f30e369ffcc7</w:t>
            </w:r>
          </w:p>
        </w:tc>
        <w:tc>
          <w:tcPr>
            <w:tcW w:w="360" w:type="dxa"/>
            <w:shd w:val="clear" w:color="auto" w:fill="F2F2F2"/>
          </w:tcPr>
          <w:p w:rsidR="00A77B3E">
            <w:pPr>
              <w:pStyle w:val="mqeng"/>
              <w:jc w:val="left"/>
            </w:pPr>
            <w:r>
              <w:rPr>
                <w:noProof/>
              </w:rPr>
              <w:t>3)</w:t>
            </w:r>
            <w:r>
              <w:rPr>
                <w:rStyle w:val="mqInternal"/>
                <w:b w:val="0"/>
                <w:i w:val="0"/>
                <w:noProof/>
                <w:u w:val="none"/>
                <w:vertAlign w:val="baseline"/>
              </w:rPr>
              <w:t>[1]</w:t>
            </w:r>
            <w:r>
              <w:rPr>
                <w:noProof/>
              </w:rPr>
              <w:t>A data quality check is conducted</w:t>
            </w:r>
          </w:p>
        </w:tc>
        <w:tc>
          <w:tcPr>
            <w:tcW w:w="360" w:type="dxa"/>
            <w:shd w:val="clear" w:color="auto" w:fill="auto"/>
          </w:tcPr>
          <w:p w:rsidR="00A77B3E">
            <w:pPr>
              <w:pStyle w:val="mqspa"/>
              <w:jc w:val="left"/>
            </w:pPr>
            <w:r>
              <w:rPr>
                <w:noProof w:val="0"/>
              </w:rPr>
              <w:t>3)</w:t>
            </w:r>
            <w:r>
              <w:rPr>
                <w:rStyle w:val="mqInternal"/>
                <w:b w:val="0"/>
                <w:i w:val="0"/>
                <w:noProof/>
                <w:u w:val="none"/>
                <w:vertAlign w:val="baseline"/>
              </w:rPr>
              <w:t>[1]</w:t>
            </w:r>
            <w:r>
              <w:rPr>
                <w:noProof w:val="0"/>
              </w:rPr>
              <w:t>Se realiza una comprobación de la calidad de los datos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424</w:t>
              <w:br/>
            </w:r>
            <w:r>
              <w:rPr>
                <w:noProof/>
                <w:sz w:val="2"/>
              </w:rPr>
              <w:t>fb7201ec-4667-434f-82aa-b58c7bdcaf2f</w:t>
            </w:r>
          </w:p>
        </w:tc>
        <w:tc>
          <w:tcPr>
            <w:tcW w:w="360" w:type="dxa"/>
            <w:shd w:val="clear" w:color="auto" w:fill="F2F2F2"/>
          </w:tcPr>
          <w:p w:rsidR="00A77B3E">
            <w:pPr>
              <w:pStyle w:val="mqeng"/>
              <w:jc w:val="left"/>
            </w:pPr>
            <w:r>
              <w:rPr>
                <w:noProof/>
              </w:rPr>
              <w:t>4)</w:t>
            </w:r>
            <w:r>
              <w:rPr>
                <w:rStyle w:val="mqInternal"/>
                <w:b w:val="0"/>
                <w:i w:val="0"/>
                <w:noProof/>
                <w:u w:val="none"/>
                <w:vertAlign w:val="baseline"/>
              </w:rPr>
              <w:t>[1]</w:t>
            </w:r>
            <w:r>
              <w:rPr>
                <w:noProof/>
              </w:rPr>
              <w:t>If there is no disclosure, if data quality is deemed insufficient, or if a material outstanding controversy is deemed unresolved, the Investment Manager will engage</w:t>
            </w:r>
          </w:p>
        </w:tc>
        <w:tc>
          <w:tcPr>
            <w:tcW w:w="360" w:type="dxa"/>
            <w:shd w:val="clear" w:color="auto" w:fill="auto"/>
          </w:tcPr>
          <w:p w:rsidR="00A77B3E">
            <w:pPr>
              <w:pStyle w:val="mqspa"/>
              <w:jc w:val="left"/>
            </w:pPr>
            <w:r>
              <w:rPr>
                <w:noProof w:val="0"/>
              </w:rPr>
              <w:t>4)</w:t>
            </w:r>
            <w:r>
              <w:rPr>
                <w:rStyle w:val="mqInternal"/>
                <w:b w:val="0"/>
                <w:i w:val="0"/>
                <w:noProof/>
                <w:u w:val="none"/>
                <w:vertAlign w:val="baseline"/>
              </w:rPr>
              <w:t>[1]</w:t>
            </w:r>
            <w:r>
              <w:rPr>
                <w:noProof w:val="0"/>
              </w:rPr>
              <w:t>Si no hay divulgación de información, si la calidad de los datos se considera insuficiente, o si se considera que hay una controversia de material pendiente no resuelta, el Gestor de inversiones se comprometerá</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425</w:t>
              <w:br/>
            </w:r>
            <w:r>
              <w:rPr>
                <w:noProof/>
                <w:sz w:val="2"/>
              </w:rPr>
              <w:t>0aa8b61b-ba92-4976-94d2-14ec024b5a72</w:t>
            </w:r>
          </w:p>
        </w:tc>
        <w:tc>
          <w:tcPr>
            <w:tcW w:w="360" w:type="dxa"/>
            <w:shd w:val="clear" w:color="auto" w:fill="F2F2F2"/>
          </w:tcPr>
          <w:p w:rsidR="00A77B3E">
            <w:pPr>
              <w:pStyle w:val="mqeng"/>
              <w:jc w:val="left"/>
            </w:pPr>
            <w:r>
              <w:rPr>
                <w:b/>
                <w:i w:val="0"/>
                <w:noProof/>
                <w:u w:val="none"/>
                <w:vertAlign w:val="baseline"/>
              </w:rPr>
              <w:t>Violations of UN Global Compact principles and Organisation for Economic Cooperation and Development (OECD) Guidelines for Multinational Enterprises</w:t>
            </w:r>
          </w:p>
        </w:tc>
        <w:tc>
          <w:tcPr>
            <w:tcW w:w="360" w:type="dxa"/>
            <w:shd w:val="clear" w:color="auto" w:fill="auto"/>
          </w:tcPr>
          <w:p w:rsidR="00A77B3E">
            <w:pPr>
              <w:pStyle w:val="mqspa"/>
              <w:jc w:val="left"/>
            </w:pPr>
            <w:r>
              <w:rPr>
                <w:b/>
                <w:i w:val="0"/>
                <w:noProof w:val="0"/>
                <w:u w:val="none"/>
                <w:vertAlign w:val="baseline"/>
              </w:rPr>
              <w:t>Infracciones de los principios del Pacto Mundial de las Naciones Unidas y de las Líneas Directrices de la Organización de Cooperación y Desarrollo Económicos (OCDE) para Empresas Multinacionales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426</w:t>
              <w:br/>
            </w:r>
            <w:r>
              <w:rPr>
                <w:noProof/>
                <w:sz w:val="2"/>
              </w:rPr>
              <w:t>46b521b9-31bc-443c-b292-a696c9122d85</w:t>
            </w:r>
          </w:p>
        </w:tc>
        <w:tc>
          <w:tcPr>
            <w:tcW w:w="360" w:type="dxa"/>
            <w:shd w:val="clear" w:color="auto" w:fill="F2F2F2"/>
          </w:tcPr>
          <w:p w:rsidR="00A77B3E">
            <w:pPr>
              <w:pStyle w:val="mqeng"/>
              <w:jc w:val="left"/>
            </w:pPr>
            <w:r>
              <w:rPr>
                <w:noProof/>
              </w:rPr>
              <w:t>Issuers are excluded if they have failed align with the OECD Guidelines for Multinational Enterprises or failed to comply with the UN Global Compact Principles.</w:t>
            </w:r>
          </w:p>
        </w:tc>
        <w:tc>
          <w:tcPr>
            <w:tcW w:w="360" w:type="dxa"/>
            <w:shd w:val="clear" w:color="auto" w:fill="auto"/>
          </w:tcPr>
          <w:p w:rsidR="00A77B3E">
            <w:pPr>
              <w:pStyle w:val="mqspa"/>
              <w:jc w:val="left"/>
            </w:pPr>
            <w:r>
              <w:rPr>
                <w:noProof w:val="0"/>
              </w:rPr>
              <w:t>Los emisores están excluidos si no han logrado alinearse con las Líneas Directrices de la OCDE para Empresas Multinacionales o si no han cumplido con los Principios del Pacto Mundial de las Naciones Unidas.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427</w:t>
              <w:br/>
            </w:r>
            <w:r>
              <w:rPr>
                <w:noProof/>
                <w:sz w:val="2"/>
              </w:rPr>
              <w:t>fb4e3eb4-bf96-494d-b301-6deb01da02ff</w:t>
            </w:r>
          </w:p>
        </w:tc>
        <w:tc>
          <w:tcPr>
            <w:tcW w:w="360" w:type="dxa"/>
            <w:shd w:val="clear" w:color="auto" w:fill="F2F2F2"/>
          </w:tcPr>
          <w:p w:rsidR="00A77B3E">
            <w:pPr>
              <w:pStyle w:val="mqeng"/>
              <w:jc w:val="left"/>
            </w:pPr>
            <w:r>
              <w:rPr>
                <w:b/>
                <w:i w:val="0"/>
                <w:noProof/>
                <w:u w:val="none"/>
                <w:vertAlign w:val="baseline"/>
              </w:rPr>
              <w:t>Lack of processes and compliance mechanisms to monitor compliance with UN Global Compact principles and OECD Guidelines for Multinational Enterprises</w:t>
            </w:r>
          </w:p>
        </w:tc>
        <w:tc>
          <w:tcPr>
            <w:tcW w:w="360" w:type="dxa"/>
            <w:shd w:val="clear" w:color="auto" w:fill="auto"/>
          </w:tcPr>
          <w:p w:rsidR="00A77B3E">
            <w:pPr>
              <w:pStyle w:val="mqspa"/>
              <w:jc w:val="left"/>
            </w:pPr>
            <w:r>
              <w:rPr>
                <w:b/>
                <w:i w:val="0"/>
                <w:noProof w:val="0"/>
                <w:u w:val="none"/>
                <w:vertAlign w:val="baseline"/>
              </w:rPr>
              <w:t>Ausencia de procesos y mecanismos de cumplimiento para realizar un seguimiento del cumplimiento de los principios del Pacto Mundial de las Naciones Unidas y de las Líneas Directrices de la OCDE para Empresas Multinacionales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428</w:t>
              <w:br/>
            </w:r>
            <w:r>
              <w:rPr>
                <w:noProof/>
                <w:sz w:val="2"/>
              </w:rPr>
              <w:t>debbc2ac-8ad8-4469-b5c0-5c18fb76ee2d</w:t>
            </w:r>
          </w:p>
        </w:tc>
        <w:tc>
          <w:tcPr>
            <w:tcW w:w="360" w:type="dxa"/>
            <w:shd w:val="clear" w:color="auto" w:fill="F2F2F2"/>
          </w:tcPr>
          <w:p w:rsidR="00A77B3E">
            <w:pPr>
              <w:pStyle w:val="mqeng"/>
              <w:jc w:val="left"/>
            </w:pPr>
            <w:r>
              <w:rPr>
                <w:noProof/>
              </w:rPr>
              <w:t>Violators are excluded as noted above.</w:t>
            </w:r>
          </w:p>
        </w:tc>
        <w:tc>
          <w:tcPr>
            <w:tcW w:w="360" w:type="dxa"/>
            <w:shd w:val="clear" w:color="auto" w:fill="auto"/>
          </w:tcPr>
          <w:p w:rsidR="00A77B3E">
            <w:pPr>
              <w:pStyle w:val="mqspa"/>
              <w:jc w:val="left"/>
            </w:pPr>
            <w:r>
              <w:rPr>
                <w:noProof w:val="0"/>
              </w:rPr>
              <w:t>Se excluyen como mencionado anteriormente.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429</w:t>
              <w:br/>
            </w:r>
            <w:r>
              <w:rPr>
                <w:noProof/>
                <w:sz w:val="2"/>
              </w:rPr>
              <w:t>60f7ddc2-c91a-4484-8be8-b6c34cfd01ba</w:t>
            </w:r>
          </w:p>
        </w:tc>
        <w:tc>
          <w:tcPr>
            <w:tcW w:w="360" w:type="dxa"/>
            <w:shd w:val="clear" w:color="auto" w:fill="F2F2F2"/>
          </w:tcPr>
          <w:p w:rsidR="00A77B3E">
            <w:pPr>
              <w:pStyle w:val="mqeng"/>
              <w:jc w:val="left"/>
            </w:pPr>
            <w:r>
              <w:rPr>
                <w:noProof/>
              </w:rPr>
              <w:t>The Investment Manager also monitors a UNGC watchlist and engages with companies if they are included on the UNGC watchlist for non-compliance.</w:t>
            </w:r>
          </w:p>
        </w:tc>
        <w:tc>
          <w:tcPr>
            <w:tcW w:w="360" w:type="dxa"/>
            <w:shd w:val="clear" w:color="auto" w:fill="auto"/>
          </w:tcPr>
          <w:p w:rsidR="00A77B3E">
            <w:pPr>
              <w:pStyle w:val="mqspa"/>
              <w:jc w:val="left"/>
            </w:pPr>
            <w:r>
              <w:rPr>
                <w:noProof w:val="0"/>
              </w:rPr>
              <w:t>El Gestor de inversiones también monitorea una lista de vigilancia del Pacto Mundial de las Naciones Unidas y se involucra con las empresas si están incluidas en la lista de vigilancia del Pacto Mundial de las Naciones Unidas por incumplimiento.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430</w:t>
              <w:br/>
            </w:r>
            <w:r>
              <w:rPr>
                <w:noProof/>
                <w:sz w:val="2"/>
              </w:rPr>
              <w:t>8fd6fa7f-ca62-4753-9693-60b0cc605ae0</w:t>
            </w:r>
          </w:p>
        </w:tc>
        <w:tc>
          <w:tcPr>
            <w:tcW w:w="360" w:type="dxa"/>
            <w:shd w:val="clear" w:color="auto" w:fill="F2F2F2"/>
          </w:tcPr>
          <w:p w:rsidR="00A77B3E">
            <w:pPr>
              <w:pStyle w:val="mqeng"/>
              <w:jc w:val="left"/>
            </w:pPr>
            <w:r>
              <w:rPr>
                <w:b/>
                <w:i w:val="0"/>
                <w:noProof/>
                <w:u w:val="none"/>
                <w:vertAlign w:val="baseline"/>
              </w:rPr>
              <w:t>Unadjusted gender pay gap</w:t>
            </w:r>
          </w:p>
        </w:tc>
        <w:tc>
          <w:tcPr>
            <w:tcW w:w="360" w:type="dxa"/>
            <w:shd w:val="clear" w:color="auto" w:fill="auto"/>
          </w:tcPr>
          <w:p w:rsidR="00A77B3E">
            <w:pPr>
              <w:pStyle w:val="mqspa"/>
              <w:jc w:val="left"/>
            </w:pPr>
            <w:r>
              <w:rPr>
                <w:b/>
                <w:i w:val="0"/>
                <w:noProof w:val="0"/>
                <w:u w:val="none"/>
                <w:vertAlign w:val="baseline"/>
              </w:rPr>
              <w:t>Brecha salarial entre hombres y mujeres, sin ajustar</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431</w:t>
              <w:br/>
            </w:r>
            <w:r>
              <w:rPr>
                <w:noProof/>
                <w:sz w:val="2"/>
              </w:rPr>
              <w:t>e76caf74-830a-4b6e-96c0-8ded7530b93a</w:t>
            </w:r>
          </w:p>
        </w:tc>
        <w:tc>
          <w:tcPr>
            <w:tcW w:w="360" w:type="dxa"/>
            <w:shd w:val="clear" w:color="auto" w:fill="F2F2F2"/>
          </w:tcPr>
          <w:p w:rsidR="00A77B3E">
            <w:pPr>
              <w:pStyle w:val="mqeng"/>
              <w:jc w:val="left"/>
            </w:pPr>
            <w:r>
              <w:rPr>
                <w:noProof/>
              </w:rPr>
              <w:t>The Investment Manager will engage if a company fails to report on this metric, or if the reported data is of insufficient quality.</w:t>
            </w:r>
          </w:p>
        </w:tc>
        <w:tc>
          <w:tcPr>
            <w:tcW w:w="360" w:type="dxa"/>
            <w:shd w:val="clear" w:color="auto" w:fill="auto"/>
          </w:tcPr>
          <w:p w:rsidR="00A77B3E">
            <w:pPr>
              <w:pStyle w:val="mqspa"/>
              <w:jc w:val="left"/>
            </w:pPr>
            <w:r>
              <w:rPr>
                <w:noProof w:val="0"/>
              </w:rPr>
              <w:t>El Gestor de Inversiones intervendrá si una empresa no informa sobre este indicador, o si los datos reportados son de calidad insuficiente.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432</w:t>
              <w:br/>
            </w:r>
            <w:r>
              <w:rPr>
                <w:noProof/>
                <w:sz w:val="2"/>
              </w:rPr>
              <w:t>ebb91065-d0d5-4161-a9af-30e2cf7a37d4</w:t>
            </w:r>
          </w:p>
        </w:tc>
        <w:tc>
          <w:tcPr>
            <w:tcW w:w="360" w:type="dxa"/>
            <w:shd w:val="clear" w:color="auto" w:fill="F2F2F2"/>
          </w:tcPr>
          <w:p w:rsidR="00A77B3E">
            <w:pPr>
              <w:pStyle w:val="mqeng"/>
              <w:jc w:val="left"/>
            </w:pPr>
            <w:r>
              <w:rPr>
                <w:noProof/>
              </w:rPr>
              <w:t>The Investment Manager’s process is as follows:</w:t>
            </w:r>
          </w:p>
        </w:tc>
        <w:tc>
          <w:tcPr>
            <w:tcW w:w="360" w:type="dxa"/>
            <w:shd w:val="clear" w:color="auto" w:fill="auto"/>
          </w:tcPr>
          <w:p w:rsidR="00A77B3E">
            <w:pPr>
              <w:pStyle w:val="mqspa"/>
              <w:jc w:val="left"/>
            </w:pPr>
            <w:r>
              <w:rPr>
                <w:noProof w:val="0"/>
              </w:rPr>
              <w:t>El proceso del Gestor de inversiones es el siguiente: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433</w:t>
              <w:br/>
            </w:r>
            <w:r>
              <w:rPr>
                <w:noProof/>
                <w:sz w:val="2"/>
              </w:rPr>
              <w:t>400d3b0f-2c84-40c6-873e-41e7ed3b0994</w:t>
            </w:r>
          </w:p>
        </w:tc>
        <w:tc>
          <w:tcPr>
            <w:tcW w:w="360" w:type="dxa"/>
            <w:shd w:val="clear" w:color="auto" w:fill="F2F2F2"/>
          </w:tcPr>
          <w:p w:rsidR="00A77B3E">
            <w:pPr>
              <w:pStyle w:val="mqeng"/>
              <w:jc w:val="left"/>
            </w:pPr>
            <w:r>
              <w:rPr>
                <w:noProof/>
              </w:rPr>
              <w:t>1)</w:t>
            </w:r>
            <w:r>
              <w:rPr>
                <w:rStyle w:val="mqInternal"/>
                <w:b w:val="0"/>
                <w:i w:val="0"/>
                <w:noProof/>
                <w:u w:val="none"/>
                <w:vertAlign w:val="baseline"/>
              </w:rPr>
              <w:t>[1]</w:t>
            </w:r>
            <w:r>
              <w:rPr>
                <w:noProof/>
              </w:rPr>
              <w:t>The dedicated sustainability analyst identified any recent controversies regarding gender-related discriminatory pay practices</w:t>
            </w:r>
          </w:p>
        </w:tc>
        <w:tc>
          <w:tcPr>
            <w:tcW w:w="360" w:type="dxa"/>
            <w:shd w:val="clear" w:color="auto" w:fill="auto"/>
          </w:tcPr>
          <w:p w:rsidR="00A77B3E">
            <w:pPr>
              <w:pStyle w:val="mqspa"/>
              <w:jc w:val="left"/>
            </w:pPr>
            <w:r>
              <w:rPr>
                <w:noProof w:val="0"/>
              </w:rPr>
              <w:t>1)</w:t>
            </w:r>
            <w:r>
              <w:rPr>
                <w:rStyle w:val="mqInternal"/>
                <w:b w:val="0"/>
                <w:i w:val="0"/>
                <w:noProof/>
                <w:u w:val="none"/>
                <w:vertAlign w:val="baseline"/>
              </w:rPr>
              <w:t>[1]</w:t>
            </w:r>
            <w:r>
              <w:rPr>
                <w:noProof w:val="0"/>
              </w:rPr>
              <w:t>El analista de sostenibilidad dedicado identificó cualquier controversia reciente relacionada con prácticas de pago discriminatorias por género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434</w:t>
              <w:br/>
            </w:r>
            <w:r>
              <w:rPr>
                <w:noProof/>
                <w:sz w:val="2"/>
              </w:rPr>
              <w:t>6f76931a-4035-47f4-a8fe-7ded13891069</w:t>
            </w:r>
          </w:p>
        </w:tc>
        <w:tc>
          <w:tcPr>
            <w:tcW w:w="360" w:type="dxa"/>
            <w:shd w:val="clear" w:color="auto" w:fill="F2F2F2"/>
          </w:tcPr>
          <w:p w:rsidR="00A77B3E">
            <w:pPr>
              <w:pStyle w:val="mqeng"/>
              <w:jc w:val="left"/>
            </w:pPr>
            <w:r>
              <w:rPr>
                <w:noProof/>
              </w:rPr>
              <w:t>2)</w:t>
            </w:r>
            <w:r>
              <w:rPr>
                <w:rStyle w:val="mqInternal"/>
                <w:b w:val="0"/>
                <w:i w:val="0"/>
                <w:noProof/>
                <w:u w:val="none"/>
                <w:vertAlign w:val="baseline"/>
              </w:rPr>
              <w:t>[1]</w:t>
            </w:r>
            <w:r>
              <w:rPr>
                <w:noProof/>
              </w:rPr>
              <w:t>The data is flagged as part of the internal data monitoring</w:t>
            </w:r>
          </w:p>
        </w:tc>
        <w:tc>
          <w:tcPr>
            <w:tcW w:w="360" w:type="dxa"/>
            <w:shd w:val="clear" w:color="auto" w:fill="auto"/>
          </w:tcPr>
          <w:p w:rsidR="00A77B3E">
            <w:pPr>
              <w:pStyle w:val="mqspa"/>
              <w:jc w:val="left"/>
            </w:pPr>
            <w:r>
              <w:rPr>
                <w:noProof w:val="0"/>
              </w:rPr>
              <w:t>2)</w:t>
            </w:r>
            <w:r>
              <w:rPr>
                <w:rStyle w:val="mqInternal"/>
                <w:b w:val="0"/>
                <w:i w:val="0"/>
                <w:noProof/>
                <w:u w:val="none"/>
                <w:vertAlign w:val="baseline"/>
              </w:rPr>
              <w:t>[1]</w:t>
            </w:r>
            <w:r>
              <w:rPr>
                <w:noProof w:val="0"/>
              </w:rPr>
              <w:t>Los datos están marcados como parte de la supervisión interna de los datos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435</w:t>
              <w:br/>
            </w:r>
            <w:r>
              <w:rPr>
                <w:noProof/>
                <w:sz w:val="2"/>
              </w:rPr>
              <w:t>b9fb49a6-9f98-479b-be27-67776d7bdfa1</w:t>
            </w:r>
          </w:p>
        </w:tc>
        <w:tc>
          <w:tcPr>
            <w:tcW w:w="360" w:type="dxa"/>
            <w:shd w:val="clear" w:color="auto" w:fill="F2F2F2"/>
          </w:tcPr>
          <w:p w:rsidR="00A77B3E">
            <w:pPr>
              <w:pStyle w:val="mqeng"/>
              <w:jc w:val="left"/>
            </w:pPr>
            <w:r>
              <w:rPr>
                <w:noProof/>
              </w:rPr>
              <w:t>3)</w:t>
            </w:r>
            <w:r>
              <w:rPr>
                <w:rStyle w:val="mqInternal"/>
                <w:b w:val="0"/>
                <w:i w:val="0"/>
                <w:noProof/>
                <w:u w:val="none"/>
                <w:vertAlign w:val="baseline"/>
              </w:rPr>
              <w:t>[1]</w:t>
            </w:r>
            <w:r>
              <w:rPr>
                <w:noProof/>
              </w:rPr>
              <w:t>A data quality check is conducted</w:t>
            </w:r>
          </w:p>
        </w:tc>
        <w:tc>
          <w:tcPr>
            <w:tcW w:w="360" w:type="dxa"/>
            <w:shd w:val="clear" w:color="auto" w:fill="auto"/>
          </w:tcPr>
          <w:p w:rsidR="00A77B3E">
            <w:pPr>
              <w:pStyle w:val="mqspa"/>
              <w:jc w:val="left"/>
            </w:pPr>
            <w:r>
              <w:rPr>
                <w:noProof w:val="0"/>
              </w:rPr>
              <w:t>3)</w:t>
            </w:r>
            <w:r>
              <w:rPr>
                <w:rStyle w:val="mqInternal"/>
                <w:b w:val="0"/>
                <w:i w:val="0"/>
                <w:noProof/>
                <w:u w:val="none"/>
                <w:vertAlign w:val="baseline"/>
              </w:rPr>
              <w:t>[1]</w:t>
            </w:r>
            <w:r>
              <w:rPr>
                <w:noProof w:val="0"/>
              </w:rPr>
              <w:t>Se realiza una comprobación de la calidad de los datos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436</w:t>
              <w:br/>
            </w:r>
            <w:r>
              <w:rPr>
                <w:noProof/>
                <w:sz w:val="2"/>
              </w:rPr>
              <w:t>5fad3d62-7c94-49b3-b945-45614e66ba06</w:t>
            </w:r>
          </w:p>
        </w:tc>
        <w:tc>
          <w:tcPr>
            <w:tcW w:w="360" w:type="dxa"/>
            <w:shd w:val="clear" w:color="auto" w:fill="F2F2F2"/>
          </w:tcPr>
          <w:p w:rsidR="00A77B3E">
            <w:pPr>
              <w:pStyle w:val="mqeng"/>
              <w:jc w:val="left"/>
            </w:pPr>
            <w:r>
              <w:rPr>
                <w:noProof/>
              </w:rPr>
              <w:t>4)</w:t>
            </w:r>
            <w:r>
              <w:rPr>
                <w:rStyle w:val="mqInternal"/>
                <w:b w:val="0"/>
                <w:i w:val="0"/>
                <w:noProof/>
                <w:u w:val="none"/>
                <w:vertAlign w:val="baseline"/>
              </w:rPr>
              <w:t>[1]</w:t>
            </w:r>
            <w:r>
              <w:rPr>
                <w:noProof/>
              </w:rPr>
              <w:t>If there is no disclosure, if data quality is deemed insufficient, or if a material outstanding controversy is deemed unresolved, the Investment Manager will engage"</w:t>
            </w:r>
          </w:p>
        </w:tc>
        <w:tc>
          <w:tcPr>
            <w:tcW w:w="360" w:type="dxa"/>
            <w:shd w:val="clear" w:color="auto" w:fill="auto"/>
          </w:tcPr>
          <w:p w:rsidR="00A77B3E">
            <w:pPr>
              <w:pStyle w:val="mqspa"/>
              <w:jc w:val="left"/>
            </w:pPr>
            <w:r>
              <w:rPr>
                <w:noProof w:val="0"/>
              </w:rPr>
              <w:t>4)</w:t>
            </w:r>
            <w:r>
              <w:rPr>
                <w:rStyle w:val="mqInternal"/>
                <w:b w:val="0"/>
                <w:i w:val="0"/>
                <w:noProof/>
                <w:u w:val="none"/>
                <w:vertAlign w:val="baseline"/>
              </w:rPr>
              <w:t>[1]</w:t>
            </w:r>
            <w:r>
              <w:rPr>
                <w:noProof w:val="0"/>
              </w:rPr>
              <w:t>Si no hay divulgación de información, si la calidad de los datos se considera insuficiente, o si se considera que hay una controversia de material pendiente no resuelta, el Gestor de inversiones se comprometerá</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437</w:t>
              <w:br/>
            </w:r>
            <w:r>
              <w:rPr>
                <w:noProof/>
                <w:sz w:val="2"/>
              </w:rPr>
              <w:t>18ca2d98-cc1b-4f10-87d9-e79f2830ba07</w:t>
            </w:r>
          </w:p>
        </w:tc>
        <w:tc>
          <w:tcPr>
            <w:tcW w:w="360" w:type="dxa"/>
            <w:shd w:val="clear" w:color="auto" w:fill="F2F2F2"/>
          </w:tcPr>
          <w:p w:rsidR="00A77B3E">
            <w:pPr>
              <w:pStyle w:val="mqeng"/>
              <w:jc w:val="left"/>
            </w:pPr>
            <w:r>
              <w:rPr>
                <w:b/>
                <w:i w:val="0"/>
                <w:noProof/>
                <w:u w:val="none"/>
                <w:vertAlign w:val="baseline"/>
              </w:rPr>
              <w:t>Board gender diversity</w:t>
            </w:r>
          </w:p>
        </w:tc>
        <w:tc>
          <w:tcPr>
            <w:tcW w:w="360" w:type="dxa"/>
            <w:shd w:val="clear" w:color="auto" w:fill="auto"/>
          </w:tcPr>
          <w:p w:rsidR="00A77B3E">
            <w:pPr>
              <w:pStyle w:val="mqspa"/>
              <w:jc w:val="left"/>
            </w:pPr>
            <w:r>
              <w:rPr>
                <w:b/>
                <w:i w:val="0"/>
                <w:noProof w:val="0"/>
                <w:u w:val="none"/>
                <w:vertAlign w:val="baseline"/>
              </w:rPr>
              <w:t>Diversidad de género del Consejo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438</w:t>
              <w:br/>
            </w:r>
            <w:r>
              <w:rPr>
                <w:noProof/>
                <w:sz w:val="2"/>
              </w:rPr>
              <w:t>1e77d264-5029-4133-bc84-a3cb050868bd</w:t>
            </w:r>
          </w:p>
        </w:tc>
        <w:tc>
          <w:tcPr>
            <w:tcW w:w="360" w:type="dxa"/>
            <w:shd w:val="clear" w:color="auto" w:fill="F2F2F2"/>
          </w:tcPr>
          <w:p w:rsidR="00A77B3E">
            <w:pPr>
              <w:pStyle w:val="mqeng"/>
              <w:jc w:val="left"/>
            </w:pPr>
            <w:r>
              <w:rPr>
                <w:noProof/>
              </w:rPr>
              <w:t>The Investment Manager engages with companies whose boards flag as under 30% female or are homogenously gendered.</w:t>
            </w:r>
          </w:p>
        </w:tc>
        <w:tc>
          <w:tcPr>
            <w:tcW w:w="360" w:type="dxa"/>
            <w:shd w:val="clear" w:color="auto" w:fill="auto"/>
          </w:tcPr>
          <w:p w:rsidR="00A77B3E">
            <w:pPr>
              <w:pStyle w:val="mqspa"/>
              <w:jc w:val="left"/>
            </w:pPr>
            <w:r>
              <w:rPr>
                <w:noProof w:val="0"/>
              </w:rPr>
              <w:t>El Gestor de Inversiones se relaciona con empresas cuyos consejos de administración indican que tienen menos del 30% de mujeres o son homogéneamente de un solo género.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439</w:t>
              <w:br/>
            </w:r>
            <w:r>
              <w:rPr>
                <w:noProof/>
                <w:sz w:val="2"/>
              </w:rPr>
              <w:t>960167e2-701d-408d-9859-c255ad716792</w:t>
            </w:r>
          </w:p>
        </w:tc>
        <w:tc>
          <w:tcPr>
            <w:tcW w:w="360" w:type="dxa"/>
            <w:shd w:val="clear" w:color="auto" w:fill="F2F2F2"/>
          </w:tcPr>
          <w:p w:rsidR="00A77B3E">
            <w:pPr>
              <w:pStyle w:val="mqeng"/>
              <w:jc w:val="left"/>
            </w:pPr>
            <w:r>
              <w:rPr>
                <w:b/>
                <w:i w:val="0"/>
                <w:noProof/>
                <w:u w:val="none"/>
                <w:vertAlign w:val="baseline"/>
              </w:rPr>
              <w:t>Exposure to controversial weapons (anti- personnel mines, cluster munitions, chemical weapons and biological weapons)</w:t>
            </w:r>
          </w:p>
        </w:tc>
        <w:tc>
          <w:tcPr>
            <w:tcW w:w="360" w:type="dxa"/>
            <w:shd w:val="clear" w:color="auto" w:fill="auto"/>
          </w:tcPr>
          <w:p w:rsidR="00A77B3E">
            <w:pPr>
              <w:pStyle w:val="mqspa"/>
              <w:jc w:val="left"/>
            </w:pPr>
            <w:r>
              <w:rPr>
                <w:b/>
                <w:i w:val="0"/>
                <w:noProof w:val="0"/>
                <w:u w:val="none"/>
                <w:vertAlign w:val="baseline"/>
              </w:rPr>
              <w:t>Exposición a armas controvertidas (minas antipersonas, municiones de racimo, armas químicas y armas biológicas)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440</w:t>
              <w:br/>
            </w:r>
            <w:r>
              <w:rPr>
                <w:noProof/>
                <w:sz w:val="2"/>
              </w:rPr>
              <w:t>b72b3968-0ccf-49cd-ab90-9d52e20500bf</w:t>
            </w:r>
          </w:p>
        </w:tc>
        <w:tc>
          <w:tcPr>
            <w:tcW w:w="360" w:type="dxa"/>
            <w:shd w:val="clear" w:color="auto" w:fill="F2F2F2"/>
          </w:tcPr>
          <w:p w:rsidR="00A77B3E">
            <w:pPr>
              <w:pStyle w:val="mqeng"/>
              <w:jc w:val="left"/>
            </w:pPr>
            <w:r>
              <w:rPr>
                <w:noProof/>
              </w:rPr>
              <w:t>Investment is not permitted in entities involved in the current manufacture of, or minority shareholding of 20% or greater in a manufacturer of controversial weapons, namely: (i) Cluster munitions; (ii) Anti-Personnel mines; (iii) Chemical weapons; (iv) Biological weapons.</w:t>
            </w:r>
          </w:p>
        </w:tc>
        <w:tc>
          <w:tcPr>
            <w:tcW w:w="360" w:type="dxa"/>
            <w:shd w:val="clear" w:color="auto" w:fill="auto"/>
          </w:tcPr>
          <w:p w:rsidR="00A77B3E">
            <w:pPr>
              <w:pStyle w:val="mqspa"/>
              <w:jc w:val="left"/>
            </w:pPr>
            <w:r>
              <w:rPr>
                <w:noProof w:val="0"/>
              </w:rPr>
              <w:t>No se permite la inversión en entidades que participen actualmente en la fabricación de armas controvertidas, o la participación minoritaria del 20% o superior en dichos fabricantes, concretamente de: (i) municiones de racimo; (ii) minas antipersonales; (iii) armas químicas; y (iv) armas biológicas.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441</w:t>
              <w:br/>
            </w:r>
            <w:r>
              <w:rPr>
                <w:noProof/>
                <w:sz w:val="2"/>
              </w:rPr>
              <w:t>aa70b151-ccfc-484e-b5ed-069bbbf7ffc2</w:t>
            </w:r>
          </w:p>
        </w:tc>
        <w:tc>
          <w:tcPr>
            <w:tcW w:w="360" w:type="dxa"/>
            <w:shd w:val="clear" w:color="auto" w:fill="F2F2F2"/>
          </w:tcPr>
          <w:p w:rsidR="00A77B3E">
            <w:pPr>
              <w:pStyle w:val="mqeng"/>
              <w:jc w:val="left"/>
            </w:pPr>
            <w:r>
              <w:rPr>
                <w:rStyle w:val="mqInternal"/>
                <w:b w:val="0"/>
                <w:i w:val="0"/>
                <w:noProof/>
                <w:u w:val="none"/>
                <w:vertAlign w:val="baseline"/>
              </w:rPr>
              <w:t>[1}</w:t>
            </w:r>
            <w:r>
              <w:rPr>
                <w:noProof/>
              </w:rPr>
              <w:t>The recognition and authorisation of the Company in any jurisdiction does not require any authority to approve or disapprove or take responsibility for the adequacy or accuracy of this or any prospectus or the portfolios of securities held by the Company.</w:t>
            </w:r>
          </w:p>
        </w:tc>
        <w:tc>
          <w:tcPr>
            <w:tcW w:w="360" w:type="dxa"/>
            <w:shd w:val="clear" w:color="auto" w:fill="auto"/>
          </w:tcPr>
          <w:p w:rsidR="00A77B3E">
            <w:pPr>
              <w:pStyle w:val="mqspa"/>
              <w:jc w:val="left"/>
            </w:pPr>
            <w:r>
              <w:rPr>
                <w:rStyle w:val="mqInternal"/>
                <w:b w:val="0"/>
                <w:i w:val="0"/>
                <w:noProof/>
                <w:u w:val="none"/>
                <w:vertAlign w:val="baseline"/>
              </w:rPr>
              <w:t>[1}</w:t>
            </w:r>
            <w:r>
              <w:rPr>
                <w:noProof w:val="0"/>
              </w:rPr>
              <w:t>El reconocimiento y la autorización de la Compañía en cualquier jurisdicción no requieren ninguna autoridad para aprobar o desaprobar o asumir la responsabilidad por la adecuación o precisión de este o cualquier prospecto o de las carteras de Securities and mantenidas por la Compañía.</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442</w:t>
              <w:br/>
            </w:r>
            <w:r>
              <w:rPr>
                <w:noProof/>
                <w:sz w:val="2"/>
              </w:rPr>
              <w:t>50dc8cde-80f0-45b6-8bf4-36a05d0ae3f4</w:t>
            </w:r>
          </w:p>
        </w:tc>
        <w:tc>
          <w:tcPr>
            <w:tcW w:w="360" w:type="dxa"/>
            <w:shd w:val="clear" w:color="auto" w:fill="F2F2F2"/>
          </w:tcPr>
          <w:p w:rsidR="00A77B3E">
            <w:pPr>
              <w:pStyle w:val="mqeng"/>
              <w:jc w:val="left"/>
            </w:pPr>
            <w:r>
              <w:rPr>
                <w:noProof/>
              </w:rPr>
              <w:t>Neither should recognition or authorisation be taken to imply any responsibility of any authority for the financial soundness of the Company or any of its Funds, or that investment in it is recommended, or that any statements made or opinions expressed with regard to it are correct.</w:t>
            </w:r>
          </w:p>
        </w:tc>
        <w:tc>
          <w:tcPr>
            <w:tcW w:w="360" w:type="dxa"/>
            <w:shd w:val="clear" w:color="auto" w:fill="auto"/>
          </w:tcPr>
          <w:p w:rsidR="00A77B3E">
            <w:pPr>
              <w:pStyle w:val="mqspa"/>
              <w:jc w:val="left"/>
            </w:pPr>
            <w:r>
              <w:rPr>
                <w:noProof w:val="0"/>
              </w:rPr>
              <w:t>Ni el reconocimiento ni la autorización deben interpretarse como una responsabilidad de ninguna autoridad por la solidez financiera de la Compañía o de ninguno de sus Fondos, ni que se recomienda la inversión en ella, ni que cualquier declaración hecha u opiniones expresadas al respecto son correctas.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443</w:t>
              <w:br/>
            </w:r>
            <w:r>
              <w:rPr>
                <w:noProof/>
                <w:sz w:val="2"/>
              </w:rPr>
              <w:t>6cf5f882-2777-432b-b243-26b5487c9eb9</w:t>
            </w:r>
          </w:p>
        </w:tc>
        <w:tc>
          <w:tcPr>
            <w:tcW w:w="360" w:type="dxa"/>
            <w:shd w:val="clear" w:color="auto" w:fill="F2F2F2"/>
          </w:tcPr>
          <w:p w:rsidR="00A77B3E">
            <w:pPr>
              <w:pStyle w:val="mqeng"/>
              <w:jc w:val="left"/>
            </w:pPr>
            <w:r>
              <w:rPr>
                <w:noProof/>
              </w:rPr>
              <w:t>Any statement to the contrary is unauthorised and unlawful.</w:t>
            </w:r>
            <w:r>
              <w:rPr>
                <w:rStyle w:val="mqInternal"/>
                <w:b w:val="0"/>
                <w:i w:val="0"/>
                <w:noProof/>
                <w:u w:val="none"/>
                <w:vertAlign w:val="baseline"/>
              </w:rPr>
              <w:t>{1]</w:t>
            </w:r>
          </w:p>
        </w:tc>
        <w:tc>
          <w:tcPr>
            <w:tcW w:w="360" w:type="dxa"/>
            <w:shd w:val="clear" w:color="auto" w:fill="auto"/>
          </w:tcPr>
          <w:p w:rsidR="00A77B3E">
            <w:pPr>
              <w:pStyle w:val="mqspa"/>
              <w:jc w:val="left"/>
            </w:pPr>
            <w:r>
              <w:rPr>
                <w:noProof w:val="0"/>
              </w:rPr>
              <w:t>Cualquier declaración contraria es no autorizada e ilegal.</w:t>
            </w:r>
            <w:r>
              <w:rPr>
                <w:rStyle w:val="mqInternal"/>
                <w:b w:val="0"/>
                <w:i w:val="0"/>
                <w:noProof/>
                <w:u w:val="none"/>
                <w:vertAlign w:val="baseline"/>
              </w:rPr>
              <w:t>{1]</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444</w:t>
              <w:br/>
            </w:r>
            <w:r>
              <w:rPr>
                <w:noProof/>
                <w:sz w:val="2"/>
              </w:rPr>
              <w:t>22b6ef55-3dc7-419b-8a57-76375ba52f55</w:t>
            </w:r>
          </w:p>
        </w:tc>
        <w:tc>
          <w:tcPr>
            <w:tcW w:w="360" w:type="dxa"/>
            <w:shd w:val="clear" w:color="auto" w:fill="F2F2F2"/>
          </w:tcPr>
          <w:p w:rsidR="00A77B3E">
            <w:pPr>
              <w:pStyle w:val="mqeng"/>
              <w:jc w:val="left"/>
            </w:pPr>
            <w:r>
              <w:rPr>
                <w:noProof/>
              </w:rPr>
              <w:t>Investment in the Company should be regarded as a long-term investment.</w:t>
            </w:r>
          </w:p>
        </w:tc>
        <w:tc>
          <w:tcPr>
            <w:tcW w:w="360" w:type="dxa"/>
            <w:shd w:val="clear" w:color="auto" w:fill="auto"/>
          </w:tcPr>
          <w:p w:rsidR="00A77B3E">
            <w:pPr>
              <w:pStyle w:val="mqspa"/>
              <w:jc w:val="left"/>
            </w:pPr>
            <w:r>
              <w:rPr>
                <w:noProof w:val="0"/>
              </w:rPr>
              <w:t>La inversión en la Sociedad debe contemplarse como una inversión a largo plazo.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445</w:t>
              <w:br/>
            </w:r>
            <w:r>
              <w:rPr>
                <w:noProof/>
                <w:sz w:val="2"/>
              </w:rPr>
              <w:t>4c0144da-13fd-4f53-b3c3-75470fd434e3</w:t>
            </w:r>
          </w:p>
        </w:tc>
        <w:tc>
          <w:tcPr>
            <w:tcW w:w="360" w:type="dxa"/>
            <w:shd w:val="clear" w:color="auto" w:fill="F2F2F2"/>
          </w:tcPr>
          <w:p w:rsidR="00A77B3E">
            <w:pPr>
              <w:pStyle w:val="mqeng"/>
              <w:jc w:val="left"/>
            </w:pPr>
            <w:r>
              <w:rPr>
                <w:noProof/>
              </w:rPr>
              <w:t>There can be no guarantee that the objective of the Company will be achieved.</w:t>
            </w:r>
          </w:p>
        </w:tc>
        <w:tc>
          <w:tcPr>
            <w:tcW w:w="360" w:type="dxa"/>
            <w:shd w:val="clear" w:color="auto" w:fill="auto"/>
          </w:tcPr>
          <w:p w:rsidR="00A77B3E">
            <w:pPr>
              <w:pStyle w:val="mqspa"/>
              <w:jc w:val="left"/>
            </w:pPr>
            <w:r>
              <w:rPr>
                <w:noProof w:val="0"/>
              </w:rPr>
              <w:t>No puede garantizarse que el objetivo de la Sociedad se logre.</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446</w:t>
              <w:br/>
            </w:r>
            <w:r>
              <w:rPr>
                <w:noProof/>
                <w:sz w:val="2"/>
              </w:rPr>
              <w:t>fe137646-a657-43a0-93dd-67b4a0c05f92</w:t>
            </w:r>
          </w:p>
        </w:tc>
        <w:tc>
          <w:tcPr>
            <w:tcW w:w="360" w:type="dxa"/>
            <w:shd w:val="clear" w:color="auto" w:fill="F2F2F2"/>
          </w:tcPr>
          <w:p w:rsidR="00A77B3E">
            <w:pPr>
              <w:pStyle w:val="mqeng"/>
              <w:jc w:val="left"/>
            </w:pPr>
            <w:r>
              <w:rPr>
                <w:noProof/>
              </w:rPr>
              <w:t>Potential investors must consider the section ‘Investment and Risk Considerations’ of this Prospectus.</w:t>
            </w:r>
          </w:p>
        </w:tc>
        <w:tc>
          <w:tcPr>
            <w:tcW w:w="360" w:type="dxa"/>
            <w:shd w:val="clear" w:color="auto" w:fill="auto"/>
          </w:tcPr>
          <w:p w:rsidR="00A77B3E">
            <w:pPr>
              <w:pStyle w:val="mqspa"/>
              <w:jc w:val="left"/>
            </w:pPr>
            <w:r>
              <w:rPr>
                <w:noProof w:val="0"/>
              </w:rPr>
              <w:t>Los inversores potenciales deben considerar la sección «Consideraciones sobre inversión y riesgo» del presente Folleto.</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447</w:t>
              <w:br/>
            </w:r>
            <w:r>
              <w:rPr>
                <w:noProof/>
                <w:sz w:val="2"/>
              </w:rPr>
              <w:t>2a50f6f5-382e-408c-877c-0d99c75eb8ac</w:t>
            </w:r>
          </w:p>
        </w:tc>
        <w:tc>
          <w:tcPr>
            <w:tcW w:w="360" w:type="dxa"/>
            <w:shd w:val="clear" w:color="auto" w:fill="F2F2F2"/>
          </w:tcPr>
          <w:p w:rsidR="00A77B3E">
            <w:pPr>
              <w:pStyle w:val="mqeng"/>
              <w:jc w:val="left"/>
            </w:pPr>
            <w:r>
              <w:rPr>
                <w:noProof/>
              </w:rPr>
              <w:t>If you require further information or data concerning the Funds, please visit the website www.janushenderson.com for information or details on how to contact us.</w:t>
            </w:r>
          </w:p>
        </w:tc>
        <w:tc>
          <w:tcPr>
            <w:tcW w:w="360" w:type="dxa"/>
            <w:shd w:val="clear" w:color="auto" w:fill="auto"/>
          </w:tcPr>
          <w:p w:rsidR="00A77B3E">
            <w:pPr>
              <w:pStyle w:val="mqspa"/>
              <w:jc w:val="left"/>
            </w:pPr>
            <w:r>
              <w:rPr>
                <w:noProof w:val="0"/>
              </w:rPr>
              <w:t>Si necesita más información o datos sobre los Fondos, visite el sitio web www.janushenderson.com para obtener información o detalles sobre cómo contactar con nosotros.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448</w:t>
              <w:br/>
            </w:r>
            <w:r>
              <w:rPr>
                <w:noProof/>
                <w:sz w:val="2"/>
              </w:rPr>
              <w:t>d01ab6b1-eeb4-4f33-b3ed-bf064ac06d0b</w:t>
            </w:r>
          </w:p>
        </w:tc>
        <w:tc>
          <w:tcPr>
            <w:tcW w:w="360" w:type="dxa"/>
            <w:shd w:val="clear" w:color="auto" w:fill="F2F2F2"/>
          </w:tcPr>
          <w:p w:rsidR="00A77B3E">
            <w:pPr>
              <w:pStyle w:val="mqeng"/>
              <w:jc w:val="left"/>
            </w:pPr>
            <w:r>
              <w:rPr>
                <w:b/>
                <w:i w:val="0"/>
                <w:noProof/>
                <w:u w:val="none"/>
                <w:vertAlign w:val="baseline"/>
              </w:rPr>
              <w:t>Potential investors should not treat the contents of this Prospectus as advice relating to legal, taxation, investment or any other matters and are recommended to consult their own professional advisers concerning the acquisition, holding or disposal of Shares.</w:t>
            </w:r>
          </w:p>
        </w:tc>
        <w:tc>
          <w:tcPr>
            <w:tcW w:w="360" w:type="dxa"/>
            <w:shd w:val="clear" w:color="auto" w:fill="auto"/>
          </w:tcPr>
          <w:p w:rsidR="00A77B3E">
            <w:pPr>
              <w:pStyle w:val="mqspa"/>
              <w:jc w:val="left"/>
            </w:pPr>
            <w:r>
              <w:rPr>
                <w:b/>
                <w:i w:val="0"/>
                <w:noProof w:val="0"/>
                <w:u w:val="none"/>
                <w:vertAlign w:val="baseline"/>
              </w:rPr>
              <w:t>Los inversores potenciales no deben tratar el contenido de este Folleto como asesoramiento relacionado con la fiscalidad, la inversión o cualquier otro asunto y se les recomienda consultar a sus propios asesores profesionales sobre la adquisición, tenencia o enajenación de Acciones.</w:t>
            </w:r>
          </w:p>
        </w:tc>
        <w:tc>
          <w:tcPr>
            <w:tcW w:w="360" w:type="dxa"/>
            <w:shd w:val="clear" w:color="auto" w:fill="auto"/>
          </w:tcPr>
          <w:p w:rsidR="00A77B3E">
            <w:pPr>
              <w:jc w:val="left"/>
            </w:pPr>
          </w:p>
        </w:tc>
        <w:tc>
          <w:tcPr>
            <w:tcW w:w="360" w:type="dxa"/>
            <w:shd w:val="clear" w:color="auto" w:fill="FA631A"/>
          </w:tcPr>
          <w:p w:rsidR="00A77B3E">
            <w:pPr>
              <w:jc w:val="left"/>
            </w:pPr>
            <w:r>
              <w:rPr>
                <w:noProof/>
                <w:sz w:val="16"/>
              </w:rPr>
              <w:t>Machine Translated</w:t>
            </w:r>
          </w:p>
        </w:tc>
      </w:tr>
    </w:tbl>
    <w:p w:rsidR="00A77B3E"/>
    <w:p w:rsidR="00A77B3E"/>
    <w:sectPr>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ahoma" w:eastAsia="Tahoma" w:hAnsi="Tahoma" w:cs="Tahoma"/>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mqInternal">
    <w:name w:val="mqInternal"/>
    <w:rPr>
      <w:color w:val="800000"/>
    </w:rPr>
  </w:style>
  <w:style w:type="paragraph" w:customStyle="1" w:styleId="mqspa">
    <w:name w:val="mq:spa"/>
    <w:basedOn w:val="Normal"/>
    <w:rPr>
      <w:lang w:val="es-ES_tradnl" w:eastAsia="es-ES_tradnl" w:bidi="es-ES_tradnl"/>
    </w:rPr>
  </w:style>
  <w:style w:type="paragraph" w:customStyle="1" w:styleId="mqeng">
    <w:name w:val="mq:eng"/>
    <w:basedOn w:val="Normal"/>
    <w:rPr>
      <w:lang w:val="gd-GB" w:eastAsia="gd-GB" w:bidi="gd-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DCF03D63313F4B9E5FAF0CA42A5F40" ma:contentTypeVersion="19" ma:contentTypeDescription="Create a new document." ma:contentTypeScope="" ma:versionID="ad84825f676abcf08bcdb942be82467c">
  <xsd:schema xmlns:xsd="http://www.w3.org/2001/XMLSchema" xmlns:xs="http://www.w3.org/2001/XMLSchema" xmlns:p="http://schemas.microsoft.com/office/2006/metadata/properties" xmlns:ns2="3d880aeb-51c9-45a9-a1f8-31e2d921e8bc" xmlns:ns3="03275443-a1be-471a-a2c8-5dfd7eb405c0" targetNamespace="http://schemas.microsoft.com/office/2006/metadata/properties" ma:root="true" ma:fieldsID="cf9ff27b2947d2f0ce0749925c07ccd6" ns2:_="" ns3:_="">
    <xsd:import namespace="3d880aeb-51c9-45a9-a1f8-31e2d921e8bc"/>
    <xsd:import namespace="03275443-a1be-471a-a2c8-5dfd7eb405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80aeb-51c9-45a9-a1f8-31e2d921e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0a23d72-b190-4a68-b8b8-c59ef18e839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75443-a1be-471a-a2c8-5dfd7eb405c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182ffc3-fb15-4dfe-aca4-e705a0ba018c}" ma:internalName="TaxCatchAll" ma:showField="CatchAllData" ma:web="03275443-a1be-471a-a2c8-5dfd7eb405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880aeb-51c9-45a9-a1f8-31e2d921e8bc">
      <Terms xmlns="http://schemas.microsoft.com/office/infopath/2007/PartnerControls"/>
    </lcf76f155ced4ddcb4097134ff3c332f>
    <TaxCatchAll xmlns="03275443-a1be-471a-a2c8-5dfd7eb405c0" xsi:nil="true"/>
  </documentManagement>
</p:properties>
</file>

<file path=customXml/itemProps1.xml><?xml version="1.0" encoding="utf-8"?>
<ds:datastoreItem xmlns:ds="http://schemas.openxmlformats.org/officeDocument/2006/customXml" ds:itemID="{E1D323E0-767C-419E-B141-154E4CB1C22F}"/>
</file>

<file path=customXml/itemProps2.xml><?xml version="1.0" encoding="utf-8"?>
<ds:datastoreItem xmlns:ds="http://schemas.openxmlformats.org/officeDocument/2006/customXml" ds:itemID="{0E348FB8-FD18-4E6B-90AC-93547C00C6EB}"/>
</file>

<file path=customXml/itemProps3.xml><?xml version="1.0" encoding="utf-8"?>
<ds:datastoreItem xmlns:ds="http://schemas.openxmlformats.org/officeDocument/2006/customXml" ds:itemID="{3B87771C-0DA2-44DD-8A5D-F92A90DBD069}"/>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asCommentColumn">
    <vt:bool>true</vt:bool>
  </property>
  <property fmtid="{D5CDD505-2E9C-101B-9397-08002B2CF9AE}" pid="3" name="HasStatusColumn">
    <vt:bool>true</vt:bool>
  </property>
  <property fmtid="{D5CDD505-2E9C-101B-9397-08002B2CF9AE}" pid="4" name="HasTwoTargetColumn">
    <vt:bool>false</vt:bool>
  </property>
  <property fmtid="{D5CDD505-2E9C-101B-9397-08002B2CF9AE}" pid="5" name="memoQVersion">
    <vt:lpwstr>11.6.10</vt:lpwstr>
  </property>
  <property fmtid="{D5CDD505-2E9C-101B-9397-08002B2CF9AE}" pid="6" name="ContentTypeId">
    <vt:lpwstr>0x010100B9DCF03D63313F4B9E5FAF0CA42A5F40</vt:lpwstr>
  </property>
</Properties>
</file>