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2026-07-17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155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 · 163–254d single-engineer (per-domain pages FederatedGqlBreakDown-FE-&lt;domain&gt;)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96 Medium · 🟢 40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the program-level working decision,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— each domain service performs its own access control. Each complex case carries a scenario ADR (</w:t>
      </w:r>
      <w:r>
        <w:rPr>
          <w:rFonts w:ascii="Courier New" w:hAnsi="Courier New"/>
          <w:sz w:val="19"/>
        </w:rPr>
        <w:t>complexStories/*/02-adr-noacl-*.md</w:t>
      </w:r>
      <w:r>
        <w:rPr>
          <w:color w:val="373737"/>
          <w:sz w:val="19"/>
        </w:rPr>
        <w:t>) recording this assumption's impact; those ratify together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, per-step policy)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E-03/E-04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ADR-012 proposed (owner-orchestrated saga + participant contract)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ADR-017 proposed (per-site ports + CI conformance gate)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 (no draft ADR yet)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ADR-011 proposed (sync orchestration + shared association component)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FederatedGqlBreakDown-BE-bom · FederatedGqlBreakDown-FE-bom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FederatedGqlBreakDown-BE-claims · FederatedGqlBreakDown-FE-claims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FederatedGqlBreakDown-BE-impression · FederatedGqlBreakDown-FE-impression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FederatedGqlBreakDown-BE-measurement · FederatedGqlBreakDown-FE-measurement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FederatedGqlBreakDown-BE-packaging · FederatedGqlBreakDown-FE-packaging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 · FederatedGqlBreakDown-FE-product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FederatedGqlBreakDown-BE-productDetails · FederatedGqlBreakDown-FE-productDetails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FederatedGqlBreakDown-BE-watchlist · FederatedGqlBreakDown-FE-watchlist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155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163–254d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