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2026-07-21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41 · 165–256d single-engineer (Frontend section of each per-domain FederatedGqlBreakDown-&lt;domain&gt; page)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74 Medium · 🟢 118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ADR-019 (</w:t>
      </w:r>
      <w:r>
        <w:rPr>
          <w:rFonts w:ascii="Courier New" w:hAnsi="Courier New"/>
          <w:sz w:val="19"/>
        </w:rPr>
        <w:t>complexStories/acl/01-adr-acl-mid-request-update.md</w:t>
      </w:r>
      <w:r>
        <w:rPr>
          <w:color w:val="373737"/>
          <w:sz w:val="19"/>
        </w:rPr>
        <w:t xml:space="preserve">), permission-check and own-domain-token call sites stay resolver-local (context-only, as before); the 31 downstream-token call sites — where a resolver hands its token to a </w:t>
      </w:r>
      <w:r>
        <w:rPr>
          <w:i/>
          <w:color w:val="373737"/>
          <w:sz w:val="19"/>
        </w:rPr>
        <w:t>different</w:t>
      </w:r>
      <w:r>
        <w:rPr>
          <w:color w:val="373737"/>
          <w:sz w:val="19"/>
        </w:rPr>
        <w:t xml:space="preserve"> domain's loader — use </w:t>
      </w:r>
      <w:r>
        <w:rPr>
          <w:b/>
          <w:color w:val="373737"/>
          <w:sz w:val="19"/>
        </w:rPr>
        <w:t>Mid-Request ACL Update</w:t>
      </w:r>
      <w:r>
        <w:rPr>
          <w:color w:val="373737"/>
          <w:sz w:val="19"/>
        </w:rPr>
        <w:t xml:space="preserve"> (</w:t>
      </w:r>
      <w:r>
        <w:rPr>
          <w:rFonts w:ascii="Courier New" w:hAnsi="Courier New"/>
          <w:sz w:val="19"/>
        </w:rPr>
        <w:t>SparkSecurityService.updateCurrentUserPermissions(capabilityToken)</w:t>
      </w:r>
      <w:r>
        <w:rPr>
          <w:color w:val="373737"/>
          <w:sz w:val="19"/>
        </w:rPr>
        <w:t>) before the downstream call. Each complex case's own ADR carries an ACL note applying this classification to its specific call sites.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(A→H)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platform work — gateway composition, facade retirement, stub verification, contract alignment (not entity resolution itself)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cross-subgraph entity resolution — real </w:t>
            </w:r>
            <w:r>
              <w:rPr>
                <w:rFonts w:ascii="Courier New" w:hAnsi="Courier New"/>
                <w:sz w:val="18"/>
              </w:rPr>
              <w:t>@DgsEntityFetcher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fields resolved by a </w:t>
            </w:r>
            <w:r>
              <w:rPr>
                <w:i/>
                <w:color w:val="373737"/>
                <w:sz w:val="18"/>
              </w:rPr>
              <w:t>separate</w:t>
            </w:r>
            <w:r>
              <w:rPr>
                <w:color w:val="373737"/>
                <w:sz w:val="18"/>
              </w:rPr>
              <w:t xml:space="preserve"> subgraph (split out from Phase 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A–H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 + [story breakdown](../../output/complexStories/non-atomic-write-saga/01-stories.md))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— 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 built (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, Sprint 0); consumers wired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 + [story breakdown](../../output/complexStories/techpack/01-stories.md))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full phase 1–3 story chain built (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 + [story breakdown](../../output/complexStories/partner-drop-undrop-write/01-stories.md))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ADR-012 proposed (owner-orchestrated saga + participant contract, via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 + [story breakdown](../../output/complexStories/notRemovable-undroppable-partners/01-stories.md))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 + [story breakdown](../../output/complexStories/polymorphic-type-resolution/01-stories.md))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ADR-017 proposed (per-site ports + CI conformance gate, </w:t>
            </w:r>
            <w:r>
              <w:rPr>
                <w:rFonts w:ascii="Courier New" w:hAnsi="Courier New"/>
                <w:sz w:val="18"/>
              </w:rPr>
              <w:t>BOM-BE-A-05</w:t>
            </w:r>
            <w:r>
              <w:rPr>
                <w:color w:val="373737"/>
                <w:sz w:val="18"/>
              </w:rPr>
              <w:t xml:space="preserve"> built)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Open — per-edge rule to decide (concludes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, no draft ADR of its own — distinct from 06b/ADR-011 below)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 + [story breakdown](../../output/complexStories/cross-domain-association/01-stories.md))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ADR-011 proposed (sync orchestration + shared association component) —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ACs updated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  <w:r>
              <w:rPr>
                <w:color w:val="373737"/>
                <w:sz w:val="18"/>
              </w:rPr>
              <w:t xml:space="preserve"> (brief + draft ADR-018 + [story breakdown](../../output/complexStories/attachments-enrichment/01-stories.md))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  <w:r>
              <w:rPr>
                <w:color w:val="373737"/>
                <w:sz w:val="18"/>
              </w:rPr>
              <w:t xml:space="preserve"> (brief + draft ADR-014 + [story breakdown](../../output/complexStories/components-and-counts-rollups/01-stories.md))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68–104d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118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165–256d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shared module (Sprint 0, critical path)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Service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+ the co-located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(`H-01`–`H-05` + co-located `F-04`/`F-06`/`F-08`)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