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steps in </w:t>
      </w:r>
      <w:r>
        <w:rPr>
          <w:rFonts w:ascii="Courier New" w:hAnsi="Courier New"/>
          <w:sz w:val="20"/>
        </w:rPr>
        <w:t>updatePackaging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(G-06 test coverage tracked outside Jira pipeline)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16–31d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44–85d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List&lt;SPARK_Packaging&gt;&gt;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packagingByProductIdLoader</w:t>
            </w:r>
            <w:r>
              <w:rPr>
                <w:color w:val="373737"/>
                <w:sz w:val="17"/>
              </w:rPr>
              <w:t>) — when the parent query returns N products, packaging is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(5–8d)&lt;br&gt;🔴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~27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FederatedGqlBreakDown-packaging.md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