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ACL;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(no ACL story) — noted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 (incl. DGS module init + ImpressionService wiring)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11–18d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+ B02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D01 + G01 + G02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SPARK-IMP-B01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SPARK-IMP-B02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SPARK-IMP-B01: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[03-schema.graphql](./03-schema.graphql).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SPARK-IMP-D01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SPARK-IMP-F01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SPARK-IMP-G01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SPARK-IMP-G02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SPARK-IMP-G03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B01, B02, D01, G02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impression logic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test coverage ≥ 80% for all impression data fetchers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tests are green for search, counts, and the update mutation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error-fallback path is explicitly covered by a unit test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