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Product Details</w:t>
      </w:r>
    </w:p>
    <w:p>
      <w:pPr>
        <w:spacing w:after="160"/>
      </w:pPr>
      <w:r>
        <w:rPr>
          <w:i/>
          <w:color w:val="444444"/>
          <w:sz w:val="22"/>
        </w:rPr>
        <w:t>Target DGS: plm-product (co-located)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13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M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0  🟠 1  🟡 7  🟢 5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B, C, D, E, F, G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plm-product (co-located)</w:t>
      </w:r>
      <w:r>
        <w:rPr>
          <w:color w:val="444444"/>
          <w:sz w:val="18"/>
        </w:rPr>
        <w:t xml:space="preserve">   |   Generated: 2026-07-07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We are moving the </w:t>
      </w:r>
      <w:r>
        <w:rPr>
          <w:b/>
          <w:color w:val="373737"/>
          <w:sz w:val="20"/>
        </w:rPr>
        <w:t>ProductDetails</w:t>
      </w:r>
      <w:r>
        <w:rPr>
          <w:color w:val="373737"/>
          <w:sz w:val="20"/>
        </w:rPr>
        <w:t xml:space="preserve"> domain — the product's "construction" sets (build/assembly detail rows, their attachments, and per-partner access) — off the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into the </w:t>
      </w:r>
      <w:r>
        <w:rPr>
          <w:b/>
          <w:color w:val="373737"/>
          <w:sz w:val="20"/>
        </w:rPr>
        <w:t>`plm-product`</w:t>
      </w:r>
      <w:r>
        <w:rPr>
          <w:color w:val="373737"/>
          <w:sz w:val="20"/>
        </w:rPr>
        <w:t xml:space="preserve"> DGS. It is </w:t>
      </w:r>
      <w:r>
        <w:rPr>
          <w:b/>
          <w:color w:val="373737"/>
          <w:sz w:val="20"/>
        </w:rPr>
        <w:t>mid-sized and mid-low risk</w:t>
      </w:r>
      <w:r>
        <w:rPr>
          <w:color w:val="373737"/>
          <w:sz w:val="20"/>
        </w:rPr>
        <w:t xml:space="preserve">: 2 queries, 6 mutations, 12 field resolvers on a 129-line resolver, with </w:t>
      </w:r>
      <w:r>
        <w:rPr>
          <w:b/>
          <w:color w:val="373737"/>
          <w:sz w:val="20"/>
        </w:rPr>
        <w:t>no polymorphism</w:t>
      </w:r>
      <w:r>
        <w:rPr>
          <w:color w:val="373737"/>
          <w:sz w:val="20"/>
        </w:rPr>
        <w:t xml:space="preserve">. (In the backend this domain is called </w:t>
      </w:r>
      <w:r>
        <w:rPr>
          <w:i/>
          <w:color w:val="373737"/>
          <w:sz w:val="20"/>
        </w:rPr>
        <w:t>construction</w:t>
      </w:r>
      <w:r>
        <w:rPr>
          <w:color w:val="373737"/>
          <w:sz w:val="20"/>
        </w:rPr>
        <w:t xml:space="preserve"> — </w:t>
      </w:r>
      <w:r>
        <w:rPr>
          <w:rFonts w:ascii="Courier New" w:hAnsi="Courier New"/>
          <w:sz w:val="20"/>
        </w:rPr>
        <w:t>construction/v1</w:t>
      </w:r>
      <w:r>
        <w:rPr>
          <w:color w:val="373737"/>
          <w:sz w:val="20"/>
        </w:rPr>
        <w:t xml:space="preserve">; the GraphQL names stay </w:t>
      </w:r>
      <w:r>
        <w:rPr>
          <w:rFonts w:ascii="Courier New" w:hAnsi="Courier New"/>
          <w:sz w:val="20"/>
        </w:rPr>
        <w:t>productDetails</w:t>
      </w:r>
      <w:r>
        <w:rPr>
          <w:color w:val="373737"/>
          <w:sz w:val="20"/>
        </w:rPr>
        <w:t>.)</w:t>
      </w:r>
    </w:p>
    <w:p>
      <w:pPr>
        <w:spacing w:after="80"/>
      </w:pPr>
      <w:r>
        <w:rPr>
          <w:color w:val="373737"/>
          <w:sz w:val="20"/>
        </w:rPr>
        <w:t xml:space="preserve">The one genuinely harder piece is </w:t>
      </w:r>
      <w:r>
        <w:rPr>
          <w:b/>
          <w:color w:val="373737"/>
          <w:sz w:val="20"/>
        </w:rPr>
        <w:t>`updateProductDetailsSet`</w:t>
      </w:r>
      <w:r>
        <w:rPr>
          <w:color w:val="373737"/>
          <w:sz w:val="20"/>
        </w:rPr>
        <w:t>, a multi-step write — workspace associations, then bulk-archive removed attachments, then the body — with no rollback today.</w:t>
      </w:r>
    </w:p>
    <w:p>
      <w:pPr>
        <w:spacing w:after="80"/>
      </w:pPr>
      <w:r>
        <w:rPr>
          <w:b/>
          <w:color w:val="373737"/>
          <w:sz w:val="20"/>
        </w:rPr>
        <w:t>ACL note:</w:t>
      </w:r>
      <w:r>
        <w:rPr>
          <w:color w:val="373737"/>
          <w:sz w:val="20"/>
        </w:rPr>
        <w:t xml:space="preserve"> the current code obtains per-resource capability tokens via ACL; </w:t>
      </w:r>
      <w:r>
        <w:rPr>
          <w:b/>
          <w:color w:val="373737"/>
          <w:sz w:val="20"/>
        </w:rPr>
        <w:t>ACL is ignored in the DGS implementation</w:t>
      </w:r>
      <w:r>
        <w:rPr>
          <w:color w:val="373737"/>
          <w:sz w:val="20"/>
        </w:rPr>
        <w:t xml:space="preserve"> (no ACL story) — noted for context only.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one by-ids (internal), one elastic (🔴 search)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5 simple + </w:t>
            </w:r>
            <w:r>
              <w:rPr>
                <w:rFonts w:ascii="Courier New" w:hAnsi="Courier New"/>
                <w:sz w:val="18"/>
              </w:rPr>
              <w:t>updateProductDetailsSet</w:t>
            </w:r>
            <w:r>
              <w:rPr>
                <w:color w:val="373737"/>
                <w:sz w:val="18"/>
              </w:rPr>
              <w:t xml:space="preserve"> (multi-step)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type blocks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ProductDetails</w:t>
            </w:r>
            <w:r>
              <w:rPr>
                <w:color w:val="373737"/>
                <w:sz w:val="18"/>
              </w:rPr>
              <w:t xml:space="preserve"> (10), item (2), category (1)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 keys (2 🔴 · 2 🟡 · 2 🔵)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search/attachment 🔴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(Product)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internal</w:t>
            </w:r>
            <w:r>
              <w:rPr>
                <w:color w:val="373737"/>
                <w:sz w:val="18"/>
              </w:rPr>
              <w:t xml:space="preserve"> (co-located)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13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green-field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SPARK-SPIKE-0x id to the global Spike Detail for the target flow + the external services each resolver calls (see 'How to read the spikes &amp; related stories' in the global doc).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6623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Program spike</w:t>
            </w:r>
          </w:p>
        </w:tc>
        <w:tc>
          <w:tcPr>
            <w:shd w:val="clear" w:color="auto" w:fill="DAE8FC"/>
            <w:vAlign w:val="top"/>
            <w:tcW w:w="345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SPARK-PDTL-E01 — updateProductDetailsSet (multi-step write)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SPARK-SPIKE-01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</w:tbl>
    <w:p/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1–2d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2–4d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 (simple)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7–12d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(</w:t>
            </w:r>
            <w:r>
              <w:rPr>
                <w:rFonts w:ascii="Courier New" w:hAnsi="Courier New"/>
                <w:sz w:val="18"/>
              </w:rPr>
              <w:t>updateProductDetailsSet</w:t>
            </w:r>
            <w:r>
              <w:rPr>
                <w:color w:val="373737"/>
                <w:sz w:val="18"/>
              </w:rPr>
              <w:t>)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(Product, internal)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1–2d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&amp; Tests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9–15d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13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24–42d</w:t>
            </w:r>
            <w:r>
              <w:rPr>
                <w:color w:val="373737"/>
                <w:sz w:val="18"/>
              </w:rPr>
              <w:t xml:space="preserve"> (buffered)</w:t>
            </w:r>
          </w:p>
        </w:tc>
      </w:tr>
    </w:tbl>
    <w:p/>
    <w:p>
      <w:r>
        <w:rPr>
          <w:sz w:val="18"/>
        </w:rPr>
        <w:t xml:space="preserve">ℹ️  </w:t>
      </w:r>
      <w:r>
        <w:rPr>
          <w:color w:val="444444"/>
          <w:sz w:val="18"/>
        </w:rPr>
        <w:t xml:space="preserve">One engineer ≈ </w:t>
      </w:r>
      <w:r>
        <w:rPr>
          <w:b/>
          <w:color w:val="444444"/>
          <w:sz w:val="18"/>
        </w:rPr>
        <w:t>5–9 sprints</w:t>
      </w:r>
      <w:r>
        <w:rPr>
          <w:color w:val="444444"/>
          <w:sz w:val="18"/>
        </w:rPr>
        <w:t>.</w:t>
      </w:r>
    </w:p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~6–11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~4–6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+ mutations parallel after B01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B01 (DGS module init + service wiring + first resolver)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schema, service port, reads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D01–D05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simple mutations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E01 + F01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multi-step write + Product field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G01–G03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G04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tests &amp; parity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SPARK-PDTL-B01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getProductDetailsById(ids)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Fetch product-detail (construction) sets by id.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for ids → GET construction/v1?ids={csv} → camelCase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list for ids; empty → []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SPARK-PDTL-B01: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productDetails.graphqls</w:t>
      </w:r>
      <w:r>
        <w:rPr>
          <w:color w:val="444444"/>
          <w:sz w:val="17"/>
        </w:rPr>
        <w:t xml:space="preserve"> (federation v2.3 header, scalars, owned types with </w:t>
      </w:r>
      <w:r>
        <w:rPr>
          <w:rFonts w:ascii="Courier New" w:hAnsi="Courier New"/>
          <w:sz w:val="17"/>
        </w:rPr>
        <w:t>@key</w:t>
      </w:r>
      <w:r>
        <w:rPr>
          <w:color w:val="444444"/>
          <w:sz w:val="17"/>
        </w:rPr>
        <w:t xml:space="preserve">, external stubs), registers scalars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>, and wires the service and Feign client. Full type list: [03-schema.graphql](./03-schema.graphql).</w:t>
      </w:r>
    </w:p>
    <w:p/>
    <w:p>
      <w:pPr>
        <w:spacing w:before="200" w:after="60"/>
        <w:shd w:val="clear" w:color="auto" w:fill="D6EDDA"/>
      </w:pPr>
      <w:r>
        <w:rPr>
          <w:b/>
          <w:color w:val="1A4731"/>
          <w:sz w:val="22"/>
        </w:rPr>
        <w:t>🔍 Phase C — Search &amp; Listing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SPARK-PDTL-C01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getProductDetailsElastic(resourceId)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 a product's product-detail sets via elastic.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(search) search.getProductDetailsElastic → paged. - EXT: search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parentId:</w:t>
            </w:r>
            <w:r>
              <w:rPr>
                <w:color w:val="373737"/>
                <w:sz w:val="17"/>
              </w:rPr>
              <w:t xml:space="preserve"> elastic query built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paged shape returned</w:t>
            </w:r>
          </w:p>
        </w:tc>
      </w:tr>
    </w:tbl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SPARK-PDTL-D01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createProductDetailsSet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a product-detail set.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for literal capability → POST construction/v1 (snake_case). If response has validationErrors or message → throw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creates set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validation error → exception (not a partial object)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SPARK-PDTL-D02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updateProductDetailAccess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Change who can access a product-detail set.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map managePermissionsRequest[].resourceId → token → PUT construction/v1/manage-permissions (primeKey=humanId)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updates partner access for each resource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SPARK-PDTL-D03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productDetailLockUnlock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Lock or unlock a product-detail set.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for [constructionSetId] → PUT construction/v1/{id}/{lock\|unlock}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isLock=true</w:t>
            </w:r>
            <w:r>
              <w:rPr>
                <w:color w:val="373737"/>
                <w:sz w:val="17"/>
              </w:rPr>
              <w:t>→lock path, false→unlock path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SPARK-PDTL-D04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cloneFilesForProductDetails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Copy attachment files for product details.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Promise.all(attachmentIds.map((id,i) =&gt; (attachment) cloneAttachmentV3({cloneReferences:[cloneReference[i]]}, id))), stamp parentResource=id, flatten. No…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clones each id with its paired cloneReference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parentResource</w:t>
            </w:r>
            <w:r>
              <w:rPr>
                <w:color w:val="373737"/>
                <w:sz w:val="17"/>
              </w:rPr>
              <w:t xml:space="preserve"> stamped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SPARK-PDTL-D05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updateProductDetailComponentStatus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component status on product-detail sets.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construction/v1/component_status_update; wraps result as {content}. No JWT — confirm backend-enforced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updates statuses; result wrapped as </w:t>
            </w:r>
            <w:r>
              <w:rPr>
                <w:rFonts w:ascii="Courier New" w:hAnsi="Courier New"/>
                <w:sz w:val="17"/>
              </w:rPr>
              <w:t>{content}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no-token behaviour documented</w:t>
            </w:r>
          </w:p>
        </w:tc>
      </w:tr>
    </w:tbl>
    <w:p/>
    <w:p>
      <w:pPr>
        <w:spacing w:before="200" w:after="60"/>
        <w:shd w:val="clear" w:color="auto" w:fill="FFE0CC"/>
      </w:pPr>
      <w:r>
        <w:rPr>
          <w:b/>
          <w:color w:val="7A2104"/>
          <w:sz w:val="22"/>
        </w:rPr>
        <w:t>⚙️ Phase E — Complex Operations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SPARK-PDTL-E01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updateProductDetailsSet</w:t>
            </w:r>
            <w:r>
              <w:rPr>
                <w:color w:val="373737"/>
                <w:sz w:val="17"/>
              </w:rPr>
              <w:t xml:space="preserve"> (multi-step write)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SPARK-SPIKE-01 (Non-Atomic Write Saga)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workspaceV2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SPARK-SPIKE-01, B01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Edit a product-detail set — a multi-step write (workspace + body) with no rollback today.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if workspaceContext.{add,remove}Workspaces non-empty → workspaceAssociationHelper(PRODUCT_DETAIL, id, add, remove) (throws on error); 2) null workspaceContext; 3) if…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4 steps in order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partial-failure strategy implemented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workspace assoc throws propagate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full path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workspace-only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attachment-archive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partial-failure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</w:tbl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SPARK-PDTL-F01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Product.productDetails</w:t>
            </w:r>
            <w:r>
              <w:rPr>
                <w:color w:val="373737"/>
                <w:sz w:val="17"/>
              </w:rPr>
              <w:t xml:space="preserve"> (internal, same subgraph)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Expose a product's product-details on the Product type (same subgraph).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Product exposes productDetails resolved from the co-located ProductDetails service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Product.productDetails</w:t>
            </w:r>
            <w:r>
              <w:rPr>
                <w:color w:val="373737"/>
                <w:sz w:val="17"/>
              </w:rPr>
              <w:t xml:space="preserve"> resolves in-process; no gateway hop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(4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SPARK-PDTL-G01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access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currentUserPermissions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participantDetails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userGroup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access / permission / participant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access → accessControl.getPermissions([humanId\|\|id])[0]; currentUserPermissions → getUserAccessUnencoded(humanId\|\|id)[0]; participantDetails → getUserGroup(humanId)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field resolves; null-safe on empty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SPARK-PDTL-G02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createdBy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updatedBy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businessPartners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workspaces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userAttributes, workspaceV2, vmm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product, people, partner and workspace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product (internal, only if parentId starts 'PID'), createdBy/updatedBy (user-profile), businessPartners (vmm loadBpsWithType), workspaces (workspaceV2 by ids)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each resolves; </w:t>
            </w: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null when </w:t>
            </w:r>
            <w:r>
              <w:rPr>
                <w:rFonts w:ascii="Courier New" w:hAnsi="Courier New"/>
                <w:sz w:val="17"/>
              </w:rPr>
              <w:t>parentId</w:t>
            </w:r>
            <w:r>
              <w:rPr>
                <w:color w:val="373737"/>
                <w:sz w:val="17"/>
              </w:rPr>
              <w:t xml:space="preserve"> not </w:t>
            </w:r>
            <w:r>
              <w:rPr>
                <w:rFonts w:ascii="Courier New" w:hAnsi="Courier New"/>
                <w:sz w:val="17"/>
              </w:rPr>
              <w:t>PID*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null id → null user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SPARK-PDTL-G03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attachment</w:t>
            </w:r>
            <w:r>
              <w:rPr>
                <w:color w:val="373737"/>
                <w:sz w:val="17"/>
              </w:rPr>
              <w:t xml:space="preserve"> + item </w:t>
            </w:r>
            <w:r>
              <w:rPr>
                <w:rFonts w:ascii="Courier New" w:hAnsi="Courier New"/>
                <w:sz w:val="17"/>
              </w:rPr>
              <w:t>attachment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constructionSetAttachments</w:t>
            </w:r>
            <w:r>
              <w:rPr>
                <w:color w:val="373737"/>
                <w:sz w:val="17"/>
              </w:rPr>
              <w:t xml:space="preserve"> + category </w:t>
            </w:r>
            <w:r>
              <w:rPr>
                <w:rFonts w:ascii="Courier New" w:hAnsi="Courier New"/>
                <w:sz w:val="17"/>
              </w:rPr>
              <w:t>subCategories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attachment and category fields on product details.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ProductDetails.attachment → (search) searchAttachments([humanId\|\|id]), find - relatedResources.length&lt;=2; ProductDetailsItem.attachment →…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field resolves to the right source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attachment</w:t>
            </w:r>
            <w:r>
              <w:rPr>
                <w:color w:val="373737"/>
                <w:sz w:val="17"/>
              </w:rPr>
              <w:t xml:space="preserve"> length-≤2 filter preserved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SPARK-PDTL-G04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Tests, parity harness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Tests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B01, E01, G01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Prove the product-details subgraph matches the old gateway.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≥80% unit coverage; parity fixtures (incl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unit ≥80%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fixtures green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schema-diff intentional-only</w:t>
            </w:r>
          </w:p>
        </w:tc>
      </w:tr>
    </w:tbl>
    <w:p/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