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497D"/>
          <w:sz w:val="40"/>
        </w:rPr>
        <w:t>Federated GraphQL Breakdown — Sample</w:t>
      </w:r>
    </w:p>
    <w:p>
      <w:pPr>
        <w:spacing w:after="160"/>
      </w:pPr>
      <w:r>
        <w:rPr>
          <w:i/>
          <w:color w:val="444444"/>
          <w:sz w:val="22"/>
        </w:rPr>
        <w:t>Target DGS: plm-sample (separate)  ·  spark-internal-graphql → Netflix DGS Federation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2" w:space="0" w:color="A0B4CF"/>
          <w:left w:val="single" w:sz="2" w:space="0" w:color="A0B4CF"/>
          <w:bottom w:val="single" w:sz="2" w:space="0" w:color="A0B4CF"/>
          <w:right w:val="single" w:sz="2" w:space="0" w:color="A0B4CF"/>
          <w:insideH w:val="single" w:sz="2" w:space="0" w:color="A0B4CF"/>
          <w:insideV w:val="single" w:sz="2" w:space="0" w:color="A0B4CF"/>
        </w:tblBorders>
      </w:tblPr>
      <w:tblGrid>
        <w:gridCol w:w="2564"/>
        <w:gridCol w:w="2564"/>
        <w:gridCol w:w="2564"/>
        <w:gridCol w:w="2564"/>
      </w:tblGrid>
      <w:tr>
        <w:trPr>
          <w:trHeight w:val="640" w:hRule="atLeast"/>
        </w:trPr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Total Stories</w:t>
              <w:br/>
            </w:r>
            <w:r>
              <w:rPr>
                <w:b/>
                <w:color w:val="1F497D"/>
                <w:sz w:val="22"/>
              </w:rPr>
              <w:t>28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T-Shirt Size</w:t>
              <w:br/>
            </w:r>
            <w:r>
              <w:rPr>
                <w:b/>
                <w:color w:val="1F497D"/>
                <w:sz w:val="22"/>
              </w:rPr>
              <w:t>XL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Complexity</w:t>
              <w:br/>
            </w:r>
            <w:r>
              <w:rPr>
                <w:b/>
                <w:color w:val="1F497D"/>
                <w:sz w:val="22"/>
              </w:rPr>
              <w:t>🔴 0  🟠 5  🟡 11  🟢 12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Phases</w:t>
              <w:br/>
            </w:r>
            <w:r>
              <w:rPr>
                <w:b/>
                <w:color w:val="1F497D"/>
                <w:sz w:val="22"/>
              </w:rPr>
              <w:t>B, C, D, E, F, G</w:t>
            </w:r>
          </w:p>
        </w:tc>
      </w:tr>
    </w:tbl>
    <w:p/>
    <w:p>
      <w:pPr>
        <w:spacing w:after="80"/>
      </w:pPr>
      <w:r>
        <w:rPr>
          <w:b/>
          <w:color w:val="373737"/>
          <w:sz w:val="18"/>
        </w:rPr>
        <w:t xml:space="preserve">Target DGS: </w:t>
      </w:r>
      <w:r>
        <w:rPr>
          <w:rFonts w:ascii="Courier New" w:hAnsi="Courier New"/>
          <w:color w:val="1F497D"/>
          <w:sz w:val="18"/>
        </w:rPr>
        <w:t>plm-sample (separate)</w:t>
      </w:r>
      <w:r>
        <w:rPr>
          <w:color w:val="444444"/>
          <w:sz w:val="18"/>
        </w:rPr>
        <w:t xml:space="preserve">   |   Generated: 2026-07-07</w:t>
      </w:r>
    </w:p>
    <w:p>
      <w:pPr>
        <w:spacing w:after="160"/>
      </w:pPr>
      <w:r>
        <w:rPr>
          <w:i/>
          <w:color w:val="444444"/>
          <w:sz w:val="16"/>
        </w:rPr>
        <w:t>🔷 Query · 🔶 Mutation · 🔸 Field Resolver   🔴 Very High · 🟠 High · 🟡 Medium · 🟢 Low   🔴🔬 spike-gated · 📖 B · 🔍 C · ✏️ D · ⚙️ E · 🔗 F · 🧪 G</w:t>
      </w:r>
    </w:p>
    <w:p>
      <w:pPr>
        <w:spacing w:before="240" w:after="80"/>
      </w:pPr>
      <w:r>
        <w:rPr>
          <w:b/>
          <w:color w:val="1F497D"/>
          <w:sz w:val="28"/>
        </w:rPr>
        <w:t>What Are We Building?</w:t>
      </w:r>
    </w:p>
    <w:p>
      <w:pPr>
        <w:spacing w:after="80"/>
      </w:pPr>
      <w:r>
        <w:rPr>
          <w:color w:val="373737"/>
          <w:sz w:val="20"/>
        </w:rPr>
        <w:t xml:space="preserve">- We are moving the </w:t>
      </w:r>
      <w:r>
        <w:rPr>
          <w:b/>
          <w:color w:val="373737"/>
          <w:sz w:val="20"/>
        </w:rPr>
        <w:t>Sample</w:t>
      </w:r>
      <w:r>
        <w:rPr>
          <w:color w:val="373737"/>
          <w:sz w:val="20"/>
        </w:rPr>
        <w:t xml:space="preserve"> domain — physical/virtual samples, their rounds, evaluations, RFID locations and master-data — off the </w:t>
      </w:r>
      <w:r>
        <w:rPr>
          <w:rFonts w:ascii="Courier New" w:hAnsi="Courier New"/>
          <w:sz w:val="20"/>
        </w:rPr>
        <w:t>spark-internal-graphql</w:t>
      </w:r>
      <w:r>
        <w:rPr>
          <w:color w:val="373737"/>
          <w:sz w:val="20"/>
        </w:rPr>
        <w:t xml:space="preserve"> gateway into its </w:t>
      </w:r>
      <w:r>
        <w:rPr>
          <w:b/>
          <w:color w:val="373737"/>
          <w:sz w:val="20"/>
        </w:rPr>
        <w:t>own `plm-sample` DGS subgraph</w:t>
      </w:r>
      <w:r>
        <w:rPr>
          <w:color w:val="373737"/>
          <w:sz w:val="20"/>
        </w:rPr>
        <w:t xml:space="preserve">. - Sample is referenced by </w:t>
      </w:r>
      <w:r>
        <w:rPr>
          <w:b/>
          <w:color w:val="373737"/>
          <w:sz w:val="20"/>
        </w:rPr>
        <w:t>product</w:t>
      </w:r>
      <w:r>
        <w:rPr>
          <w:color w:val="373737"/>
          <w:sz w:val="20"/>
        </w:rPr>
        <w:t xml:space="preserve"> (</w:t>
      </w:r>
      <w:r>
        <w:rPr>
          <w:rFonts w:ascii="Courier New" w:hAnsi="Courier New"/>
          <w:sz w:val="20"/>
        </w:rPr>
        <w:t>Product.samples</w:t>
      </w:r>
      <w:r>
        <w:rPr>
          <w:color w:val="373737"/>
          <w:sz w:val="20"/>
        </w:rPr>
        <w:t>/</w:t>
      </w:r>
      <w:r>
        <w:rPr>
          <w:rFonts w:ascii="Courier New" w:hAnsi="Courier New"/>
          <w:sz w:val="20"/>
        </w:rPr>
        <w:t>sampleIds</w:t>
      </w:r>
      <w:r>
        <w:rPr>
          <w:color w:val="373737"/>
          <w:sz w:val="20"/>
        </w:rPr>
        <w:t xml:space="preserve">), </w:t>
      </w:r>
      <w:r>
        <w:rPr>
          <w:b/>
          <w:color w:val="373737"/>
          <w:sz w:val="20"/>
        </w:rPr>
        <w:t>measurement</w:t>
      </w:r>
      <w:r>
        <w:rPr>
          <w:color w:val="373737"/>
          <w:sz w:val="20"/>
        </w:rPr>
        <w:t xml:space="preserve"> (</w:t>
      </w:r>
      <w:r>
        <w:rPr>
          <w:rFonts w:ascii="Courier New" w:hAnsi="Courier New"/>
          <w:sz w:val="20"/>
        </w:rPr>
        <w:t>SampleV2.sampleMeasurement</w:t>
      </w:r>
      <w:r>
        <w:rPr>
          <w:color w:val="373737"/>
          <w:sz w:val="20"/>
        </w:rPr>
        <w:t xml:space="preserve">) and </w:t>
      </w:r>
      <w:r>
        <w:rPr>
          <w:b/>
          <w:color w:val="373737"/>
          <w:sz w:val="20"/>
        </w:rPr>
        <w:t>workspace</w:t>
      </w:r>
      <w:r>
        <w:rPr>
          <w:color w:val="373737"/>
          <w:sz w:val="20"/>
        </w:rPr>
        <w:t xml:space="preserve"> (sample report + drop/undrop).</w:t>
      </w:r>
    </w:p>
    <w:p>
      <w:pPr>
        <w:spacing w:after="80"/>
      </w:pPr>
      <w:r>
        <w:rPr>
          <w:color w:val="373737"/>
          <w:sz w:val="20"/>
        </w:rPr>
        <w:t xml:space="preserve">- It is </w:t>
      </w:r>
      <w:r>
        <w:rPr>
          <w:b/>
          <w:color w:val="373737"/>
          <w:sz w:val="20"/>
        </w:rPr>
        <w:t>large and mid-high risk</w:t>
      </w:r>
      <w:r>
        <w:rPr>
          <w:color w:val="373737"/>
          <w:sz w:val="20"/>
        </w:rPr>
        <w:t xml:space="preserve">: 23 queries, 9 mutations </w:t>
      </w:r>
      <w:r>
        <w:rPr>
          <w:b/>
          <w:color w:val="373737"/>
          <w:sz w:val="20"/>
        </w:rPr>
        <w:t>(+3 schema-drift)</w:t>
      </w:r>
      <w:r>
        <w:rPr>
          <w:color w:val="373737"/>
          <w:sz w:val="20"/>
        </w:rPr>
        <w:t xml:space="preserve">, ~45 field resolvers on a 430-line resolver. - The cost concentrates in the </w:t>
      </w:r>
      <w:r>
        <w:rPr>
          <w:b/>
          <w:color w:val="373737"/>
          <w:sz w:val="20"/>
        </w:rPr>
        <w:t>wide `SampleV2` entity</w:t>
      </w:r>
      <w:r>
        <w:rPr>
          <w:color w:val="373737"/>
          <w:sz w:val="20"/>
        </w:rPr>
        <w:t xml:space="preserve"> with </w:t>
      </w:r>
      <w:r>
        <w:rPr>
          <w:b/>
          <w:color w:val="373737"/>
          <w:sz w:val="20"/>
        </w:rPr>
        <w:t>prefix-gated polymorphic parent hydration</w:t>
      </w:r>
      <w:r>
        <w:rPr>
          <w:color w:val="373737"/>
          <w:sz w:val="20"/>
        </w:rPr>
        <w:t xml:space="preserve"> (product / trim / color / fabric / artwork / asset), the </w:t>
      </w:r>
      <w:r>
        <w:rPr>
          <w:b/>
          <w:color w:val="373737"/>
          <w:sz w:val="20"/>
        </w:rPr>
        <w:t>`SampleAsset` union</w:t>
      </w:r>
      <w:r>
        <w:rPr>
          <w:color w:val="373737"/>
          <w:sz w:val="20"/>
        </w:rPr>
        <w:t>, and two evaluation writes (</w:t>
      </w:r>
      <w:r>
        <w:rPr>
          <w:rFonts w:ascii="Courier New" w:hAnsi="Courier New"/>
          <w:sz w:val="20"/>
        </w:rPr>
        <w:t>updateSamplesV2</w:t>
      </w:r>
      <w:r>
        <w:rPr>
          <w:color w:val="373737"/>
          <w:sz w:val="20"/>
        </w:rPr>
        <w:t xml:space="preserve">, </w:t>
      </w:r>
      <w:r>
        <w:rPr>
          <w:rFonts w:ascii="Courier New" w:hAnsi="Courier New"/>
          <w:sz w:val="20"/>
        </w:rPr>
        <w:t>bulkEvaluateSamples</w:t>
      </w:r>
      <w:r>
        <w:rPr>
          <w:color w:val="373737"/>
          <w:sz w:val="20"/>
        </w:rPr>
        <w:t>). - A long master-data tail (~13 cacheable lookups) is cheap.</w:t>
      </w:r>
    </w:p>
    <w:p>
      <w:pPr>
        <w:spacing w:after="80"/>
      </w:pPr>
      <w:r>
        <w:rPr>
          <w:b/>
          <w:color w:val="373737"/>
          <w:sz w:val="20"/>
        </w:rPr>
        <w:t>ACL note:</w:t>
      </w:r>
      <w:r>
        <w:rPr>
          <w:color w:val="373737"/>
          <w:sz w:val="20"/>
        </w:rPr>
        <w:t xml:space="preserve"> reads/writes curry capability tokens; drop/undrop bookkeeping lives in the workspace dispatcher. </w:t>
      </w:r>
      <w:r>
        <w:rPr>
          <w:b/>
          <w:color w:val="373737"/>
          <w:sz w:val="20"/>
        </w:rPr>
        <w:t>ACL is ignored in the DGS implementation</w:t>
      </w:r>
      <w:r>
        <w:rPr>
          <w:color w:val="373737"/>
          <w:sz w:val="20"/>
        </w:rPr>
        <w:t xml:space="preserve"> (no ACL story) — context only.</w:t>
      </w:r>
    </w:p>
    <w:p>
      <w:pPr>
        <w:spacing w:before="240" w:after="80"/>
      </w:pPr>
      <w:r>
        <w:rPr>
          <w:b/>
          <w:color w:val="1F497D"/>
          <w:sz w:val="28"/>
        </w:rPr>
        <w:t>Migration Scope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3168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Surface</w:t>
            </w:r>
          </w:p>
        </w:tc>
        <w:tc>
          <w:tcPr>
            <w:shd w:val="clear" w:color="auto" w:fill="DAE8FC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Count</w:t>
            </w:r>
          </w:p>
        </w:tc>
        <w:tc>
          <w:tcPr>
            <w:shd w:val="clear" w:color="auto" w:fill="DAE8FC"/>
            <w:vAlign w:val="top"/>
            <w:tcW w:w="8352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Notes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Queries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23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~13 cacheable master-data + by-id/parent + 2 RFID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9 (+3 deferred)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create/round/update/workspace-assoc/export/retry/clone + 2 evaluation writes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Field-resolver type blocks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~7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SampleV2</w:t>
            </w:r>
            <w:r>
              <w:rPr>
                <w:color w:val="373737"/>
                <w:sz w:val="18"/>
              </w:rPr>
              <w:t xml:space="preserve"> (~35) + 6 sub-types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Polymorphism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 union (</w:t>
            </w:r>
            <w:r>
              <w:rPr>
                <w:rFonts w:ascii="Courier New" w:hAnsi="Courier New"/>
                <w:sz w:val="18"/>
              </w:rPr>
              <w:t>SampleAsset</w:t>
            </w:r>
            <w:r>
              <w:rPr>
                <w:color w:val="373737"/>
                <w:sz w:val="18"/>
              </w:rPr>
              <w:t>)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B01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External dependencies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~20 keys (all cross-subgraph)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 🔴; product/workspace/measurement/material/… 🟡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role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provides </w:t>
            </w:r>
            <w:r>
              <w:rPr>
                <w:rFonts w:ascii="Courier New" w:hAnsi="Courier New"/>
                <w:sz w:val="18"/>
              </w:rPr>
              <w:t>SampleV2</w:t>
            </w:r>
            <w:r>
              <w:rPr>
                <w:color w:val="373737"/>
                <w:sz w:val="18"/>
              </w:rPr>
              <w:t xml:space="preserve"> entity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product/measurement/workspace reference it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 stories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33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green-field; separate subgraph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Spikes &amp; Complex Cases</w:t>
      </w:r>
    </w:p>
    <w:p>
      <w:pPr>
        <w:spacing w:after="60"/>
      </w:pPr>
      <w:r>
        <w:rPr>
          <w:i/>
          <w:color w:val="444444"/>
          <w:sz w:val="18"/>
        </w:rPr>
        <w:t>This domain's complex, cross-cutting problems are tracked once as program spikes in the global breakdown — see 'Phase 0 — Program Spikes' and 'Spike Detail' (the brief, the decision, intended cross-domain steps, and every affected resolver's external deps + current logic) in Federated+Graphql+Stories+-+BreakDown. Nothing from there is repeated here; the stories below just link to it. Follow a story's SPARK-SPIKE-0x id to the global Spike Detail for the target flow + the external services each resolver calls (see 'How to read the spikes &amp; related stories' in the global doc).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6623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vAlign w:val="top"/>
            <w:tcW w:w="21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Program spike</w:t>
            </w:r>
          </w:p>
        </w:tc>
        <w:tc>
          <w:tcPr>
            <w:shd w:val="clear" w:color="auto" w:fill="DAE8FC"/>
            <w:vAlign w:val="top"/>
            <w:tcW w:w="3456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Bucket</w:t>
            </w:r>
          </w:p>
        </w:tc>
      </w:tr>
      <w:tr>
        <w:tc>
          <w:tcPr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SPARK-SMPL-B01 — getSampleById(id)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SPARK-SPIKE-05</w:t>
            </w:r>
          </w:p>
        </w:tc>
        <w:tc>
          <w:tcPr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Polymorphic Type Resolution</w:t>
            </w:r>
          </w:p>
        </w:tc>
      </w:tr>
      <w:tr>
        <w:tc>
          <w:tcPr>
            <w:shd w:val="clear" w:color="auto" w:fill="F5F8FF"/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SPARK-SMPL-E01 — updateSamplesV2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SPARK-SPIKE-01</w:t>
            </w:r>
          </w:p>
        </w:tc>
        <w:tc>
          <w:tcPr>
            <w:shd w:val="clear" w:color="auto" w:fill="F5F8FF"/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Non-Atomic Write Saga</w:t>
            </w:r>
          </w:p>
        </w:tc>
      </w:tr>
      <w:tr>
        <w:tc>
          <w:tcPr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SPARK-SMPL-E02 — bulkEvaluateSamples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SPARK-SPIKE-01</w:t>
            </w:r>
          </w:p>
        </w:tc>
        <w:tc>
          <w:tcPr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Non-Atomic Write Saga</w:t>
            </w:r>
          </w:p>
        </w:tc>
      </w:tr>
    </w:tbl>
    <w:p/>
    <w:p>
      <w:pPr>
        <w:spacing w:after="120"/>
      </w:pPr>
      <w:r>
        <w:rPr>
          <w:i/>
          <w:color w:val="444444"/>
          <w:sz w:val="18"/>
        </w:rPr>
        <w:t>Simple, intuitive decisions (drift-op cleanup, dead-method audits, auth-token parity, sort/DTO shape) are resolved inline in the owning story — they are not spikes.</w:t>
      </w:r>
    </w:p>
    <w:p>
      <w:pPr>
        <w:spacing w:before="240" w:after="80"/>
      </w:pPr>
      <w:r>
        <w:rPr>
          <w:b/>
          <w:color w:val="1F497D"/>
          <w:sz w:val="28"/>
        </w:rPr>
        <w:t>Effort Snapshot by Phase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64"/>
        <w:gridCol w:w="2564"/>
        <w:gridCol w:w="2564"/>
        <w:gridCol w:w="2564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864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Phase</w:t>
            </w:r>
          </w:p>
        </w:tc>
        <w:tc>
          <w:tcPr>
            <w:shd w:val="clear" w:color="auto" w:fill="DAE8FC"/>
            <w:vAlign w:val="top"/>
            <w:tcW w:w="432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Name</w:t>
            </w:r>
          </w:p>
        </w:tc>
        <w:tc>
          <w:tcPr>
            <w:shd w:val="clear" w:color="auto" w:fill="DAE8FC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</w:t>
            </w:r>
          </w:p>
        </w:tc>
        <w:tc>
          <w:tcPr>
            <w:shd w:val="clear" w:color="auto" w:fill="DAE8FC"/>
            <w:vAlign w:val="top"/>
            <w:tcW w:w="360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Effort (est., +20%)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Core Reads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8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8–14d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RFID Reads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4–7d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D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Mutations (simple)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11–18d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Complex (evaluation writes)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9–15d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&amp; decisions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4–7d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 Resolvers &amp; Tests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31–51d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33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70–116d</w:t>
            </w:r>
            <w:r>
              <w:rPr>
                <w:color w:val="373737"/>
                <w:sz w:val="18"/>
              </w:rPr>
              <w:t xml:space="preserve"> (buffered)</w:t>
            </w:r>
          </w:p>
        </w:tc>
      </w:tr>
    </w:tbl>
    <w:p/>
    <w:p>
      <w:r>
        <w:rPr>
          <w:sz w:val="18"/>
        </w:rPr>
        <w:t xml:space="preserve">ℹ️  </w:t>
      </w:r>
      <w:r>
        <w:rPr>
          <w:color w:val="444444"/>
          <w:sz w:val="18"/>
        </w:rPr>
        <w:t xml:space="preserve">One engineer ≈ </w:t>
      </w:r>
      <w:r>
        <w:rPr>
          <w:b/>
          <w:color w:val="444444"/>
          <w:sz w:val="18"/>
        </w:rPr>
        <w:t>14–24 sprints</w:t>
      </w:r>
      <w:r>
        <w:rPr>
          <w:color w:val="444444"/>
          <w:sz w:val="18"/>
        </w:rPr>
        <w:t>. Parallelizable after B01; 2–3 engineers recommended.</w:t>
      </w:r>
    </w:p>
    <w:p>
      <w:pPr>
        <w:spacing w:before="240" w:after="80"/>
      </w:pPr>
      <w:r>
        <w:rPr>
          <w:b/>
          <w:color w:val="373737"/>
          <w:sz w:val="24"/>
        </w:rPr>
        <w:t>Capacity Planning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288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Team size</w:t>
            </w:r>
          </w:p>
        </w:tc>
        <w:tc>
          <w:tcPr>
            <w:shd w:val="clear" w:color="auto" w:fill="DAE8FC"/>
            <w:vAlign w:val="top"/>
            <w:tcW w:w="288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Calendar</w:t>
            </w:r>
          </w:p>
        </w:tc>
        <w:tc>
          <w:tcPr>
            <w:shd w:val="clear" w:color="auto" w:fill="DAE8FC"/>
            <w:vAlign w:val="top"/>
            <w:tcW w:w="57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Notes</w:t>
            </w:r>
          </w:p>
        </w:tc>
      </w:tr>
      <w:tr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 engineer</w:t>
            </w:r>
          </w:p>
        </w:tc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~16–27 sprints</w:t>
            </w:r>
          </w:p>
        </w:tc>
        <w:tc>
          <w:tcPr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sequential</w:t>
            </w:r>
          </w:p>
        </w:tc>
      </w:tr>
      <w:tr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 engineers</w:t>
            </w:r>
          </w:p>
        </w:tc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~10–16 sprints</w:t>
            </w:r>
          </w:p>
        </w:tc>
        <w:tc>
          <w:tcPr>
            <w:shd w:val="clear" w:color="auto" w:fill="F5F8FF"/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reads + mutations parallel after B01</w:t>
            </w:r>
          </w:p>
        </w:tc>
      </w:tr>
      <w:tr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 engineers</w:t>
            </w:r>
          </w:p>
        </w:tc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~6–11 sprints</w:t>
            </w:r>
          </w:p>
        </w:tc>
        <w:tc>
          <w:tcPr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critical path A → G02 → G07; E in parallel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Sprint Sequencing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1296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Sprint</w:t>
            </w:r>
          </w:p>
        </w:tc>
        <w:tc>
          <w:tcPr>
            <w:shd w:val="clear" w:color="auto" w:fill="DAE8FC"/>
            <w:vAlign w:val="top"/>
            <w:tcW w:w="21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</w:t>
            </w:r>
          </w:p>
        </w:tc>
        <w:tc>
          <w:tcPr>
            <w:shd w:val="clear" w:color="auto" w:fill="DAE8FC"/>
            <w:vAlign w:val="top"/>
            <w:tcW w:w="792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1–2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B01 (DGS module init + service wiring + first resolver)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schema, union resolver, service port, reads + master-data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C01/C02 + D02–D06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RFID + simple mutations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D01/D07 + E01/E02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create(+files), clone, evaluation writes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G01/G02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users + the prefix-gated parents/union (X-Large)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G03–G06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partners/assoc/attachments/participants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F01/F02 + G07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entity fetcher + drift decision + tests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Jira Stories by Phase</w:t>
      </w:r>
    </w:p>
    <w:p>
      <w:pPr>
        <w:spacing w:after="120"/>
      </w:pPr>
      <w:r>
        <w:rPr>
          <w:i/>
          <w:color w:val="444444"/>
          <w:sz w:val="18"/>
        </w:rPr>
        <w:t>Each row is one Jira story. Complexity drives T-shirt sizing in refinement. 'Depends On' lists blocking story IDs within this domain.</w:t>
      </w:r>
    </w:p>
    <w:p>
      <w:pPr>
        <w:spacing w:before="200" w:after="60"/>
        <w:shd w:val="clear" w:color="auto" w:fill="D6E4F0"/>
      </w:pPr>
      <w:r>
        <w:rPr>
          <w:b/>
          <w:color w:val="1F3864"/>
          <w:sz w:val="22"/>
        </w:rPr>
        <w:t>📖 Phase B — Core Reads  (8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SPARK-SMPL-B01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getSampleById(id)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SPARK-SPIKE-05 (Polymorphic Type Resolution)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SPARK-SPIKE-05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Fetch one sample by id.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getSampleById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sample; miss→null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SPARK-SMPL-B02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getSamplesByIdsV2(ids)</w:t>
            </w:r>
            <w:r>
              <w:rPr>
                <w:color w:val="373737"/>
                <w:sz w:val="17"/>
              </w:rPr>
              <w:t xml:space="preserve"> (batched)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recentlyViewed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Fetch several samples by ids (batched); records 'recently viewed'.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batchParallelOperation(chunk) → token per batch → getSamplesByIdsV2ByPost. Side-effect: exactly-one → (recentlyViewed) addRecentlyViewed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batched by chunk size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single → recentlyViewed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SPARK-SMPL-B03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getSamplesByParentId(humanId)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relationship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List a product's samples.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(relationship) getByID({id, type:'sample', maxDepth:0}) → ids → token → getSamplesByIdsV2; empty → []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relationship→ids→samples chain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SPARK-SMPL-B04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getColorSamplesByParentId(id)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List a product's colour samples.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getColorSamplesByParentId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color samples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SPARK-SMPL-B05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getSampleRounds(humanId)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List the evaluation rounds on a sample.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 → getSampleRounds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rounds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SPARK-SMPL-B06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getSampleExports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List sample export jobs.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getSampleExports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exports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SPARK-SMPL-B07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getSampleNotificationErrors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notification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List failed sample notifications.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(notification) getSampleNotificationErrors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errors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SPARK-SMPL-B08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Master-data type/format/purpose queries (cacheable bundle)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 the sample type / format / purpose lookups (cached).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thin master-data loads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each returns its list; cached</w:t>
            </w:r>
          </w:p>
        </w:tc>
      </w:tr>
    </w:tbl>
    <w:p/>
    <w:p>
      <w:pPr>
        <w:spacing w:after="40"/>
        <w:ind w:left="216"/>
      </w:pPr>
      <w:r>
        <w:rPr>
          <w:sz w:val="18"/>
        </w:rPr>
        <w:t xml:space="preserve">ℹ️  </w:t>
      </w:r>
      <w:r>
        <w:rPr>
          <w:color w:val="444444"/>
          <w:sz w:val="17"/>
        </w:rPr>
        <w:t xml:space="preserve">SPARK-SMPL-B01: </w:t>
      </w:r>
      <w:r>
        <w:rPr>
          <w:b/>
          <w:color w:val="444444"/>
          <w:sz w:val="17"/>
        </w:rPr>
        <w:t>Note — DGS Module Init (this PR only):</w:t>
      </w:r>
      <w:r>
        <w:rPr>
          <w:color w:val="444444"/>
          <w:sz w:val="17"/>
        </w:rPr>
        <w:t xml:space="preserve"> Creates </w:t>
      </w:r>
      <w:r>
        <w:rPr>
          <w:rFonts w:ascii="Courier New" w:hAnsi="Courier New"/>
          <w:sz w:val="17"/>
        </w:rPr>
        <w:t>sample.graphqls</w:t>
      </w:r>
      <w:r>
        <w:rPr>
          <w:color w:val="444444"/>
          <w:sz w:val="17"/>
        </w:rPr>
        <w:t xml:space="preserve"> (federation v2.3 header, scalars, owned types with </w:t>
      </w:r>
      <w:r>
        <w:rPr>
          <w:rFonts w:ascii="Courier New" w:hAnsi="Courier New"/>
          <w:sz w:val="17"/>
        </w:rPr>
        <w:t>@key</w:t>
      </w:r>
      <w:r>
        <w:rPr>
          <w:color w:val="444444"/>
          <w:sz w:val="17"/>
        </w:rPr>
        <w:t xml:space="preserve">, external stubs), registers scalars in </w:t>
      </w:r>
      <w:r>
        <w:rPr>
          <w:rFonts w:ascii="Courier New" w:hAnsi="Courier New"/>
          <w:sz w:val="17"/>
        </w:rPr>
        <w:t>ScalarConfig.kt</w:t>
      </w:r>
      <w:r>
        <w:rPr>
          <w:color w:val="444444"/>
          <w:sz w:val="17"/>
        </w:rPr>
        <w:t>, and wires the service and Feign client. Full type list: [03-schema.graphql](./03-schema.graphql).</w:t>
      </w:r>
    </w:p>
    <w:p/>
    <w:p>
      <w:pPr>
        <w:spacing w:before="200" w:after="60"/>
        <w:shd w:val="clear" w:color="auto" w:fill="D6EDDA"/>
      </w:pPr>
      <w:r>
        <w:rPr>
          <w:b/>
          <w:color w:val="1A4731"/>
          <w:sz w:val="22"/>
        </w:rPr>
        <w:t>🔍 Phase C — Search &amp; Listing  (2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rHeight w:val="320" w:hRule="atLeast"/>
        </w:trPr>
        <w:tc>
          <w:tcPr>
            <w:shd w:val="clear" w:color="auto" w:fill="DAE8FC"/>
            <w:tcW w:w="2304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08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655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29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432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Key Tests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SPARK-SMPL-C01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getSampleLocationByIds(ids)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D35400"/>
                <w:sz w:val="17"/>
              </w:rPr>
              <w:t>🟠 High [L]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Find each sample's latest physical location via its RFID tags.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batched samples → for each with rfidTagIds → (search) searchLatestRfidLocations({q: tagIds OR-joined}) → reduce to latest lastSeen → {id, locationDescription…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latest-location reduce correct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no tags → []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latest reduce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no-tags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Parity: DGS response matches spark-internal-graphql baseline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SPARK-SMPL-C02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getSamplesByRfidTagIds(ids)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Find samples by their RFID tag ids.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 → getSamplesByRfidTagIds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tag→sample pairs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</w:tbl>
    <w:p/>
    <w:p>
      <w:pPr>
        <w:spacing w:before="200" w:after="60"/>
        <w:shd w:val="clear" w:color="auto" w:fill="FFF3CD"/>
      </w:pPr>
      <w:r>
        <w:rPr>
          <w:b/>
          <w:color w:val="7D5002"/>
          <w:sz w:val="22"/>
        </w:rPr>
        <w:t>✏️ Phase D — Mutations  (7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SPARK-SMPL-D01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createSamplesV2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relationship, attachment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Create samples (and link any attachment files).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createSamplesV2; if first new sample has files → (relationship) createSampleAttachmentRelationship + token + (attachment) bulkUpdateAttributes (stamp…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creates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file-relationship + attribute side-effects when files present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SPARK-SMPL-D02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createSampleRoundV2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Create a new evaluation round on a sample.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 [sampleId, SAMPLE_EVALUTION] → createSampleRoundV2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creates a round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SPARK-SMPL-D03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updateSampleWorkspaceAssociation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Add / remove a sample's workspace links.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 [sampleId, workspaceId] → updateSampleWorkspaceAssociation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associates sample to workspace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SPARK-SMPL-D04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requestSampleExport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Kick off a sample export.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requestSampleExport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request id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SPARK-SMPL-D05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retrySampleNotificationError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notification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Retry one failed sample notification.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(notification) retrySampleNotificationError(failedMessageId)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retries one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SPARK-SMPL-D06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retryAllSampleNotificationErrors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notification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Retry all failed sample notifications.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(notification) retryAllSampleNotificationErrors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retries all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SPARK-SMPL-D07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bulkCloneFilesForEvaluate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attachment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Copy attachment files for sample evaluation.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 → Promise.all(attachmentIds.map(id =&gt; (attachment) cloneAttachmentV3({cloneReferences}, id))), flatten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clones each id</w:t>
            </w:r>
          </w:p>
        </w:tc>
      </w:tr>
    </w:tbl>
    <w:p/>
    <w:p>
      <w:pPr>
        <w:spacing w:before="200" w:after="60"/>
        <w:shd w:val="clear" w:color="auto" w:fill="FFE0CC"/>
      </w:pPr>
      <w:r>
        <w:rPr>
          <w:b/>
          <w:color w:val="7A2104"/>
          <w:sz w:val="22"/>
        </w:rPr>
        <w:t>⚙️ Phase E — Complex Operations  (2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rHeight w:val="320" w:hRule="atLeast"/>
        </w:trPr>
        <w:tc>
          <w:tcPr>
            <w:shd w:val="clear" w:color="auto" w:fill="DAE8FC"/>
            <w:tcW w:w="2304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08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655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29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432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Key Tests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SPARK-SMPL-E01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updateSamplesV2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SPARK-SPIKE-01 (Non-Atomic Write Saga)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D35400"/>
                <w:sz w:val="17"/>
              </w:rPr>
              <w:t>🟠 High [L]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SPARK-SPIKE-01, B01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Update samples (the evaluation write).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 for all updateSamples[].id + SAMPLE_EVALUTION → updateSamplesV2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bulk-updates samples (eval-scoped token)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update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Parity: DGS response matches spark-internal-graphql baseline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SPARK-SMPL-E02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bulkEvaluateSamples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SPARK-SPIKE-01 (Non-Atomic Write Saga)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D35400"/>
                <w:sz w:val="17"/>
              </w:rPr>
              <w:t>🟠 High [L]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attachment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SPARK-SPIKE-01, B01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Apply evaluations to many samples and create new rounds.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delegates to bulkEvaluateSampleUtil(ctx, updateSamples, newSampleRounds) — applies evaluations and creates new sample rounds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evaluations + new rounds applied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partial-failure handling decided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evaluate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new rounds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partial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Parity: DGS response matches spark-internal-graphql baseline</w:t>
            </w:r>
          </w:p>
        </w:tc>
      </w:tr>
    </w:tbl>
    <w:p/>
    <w:p>
      <w:pPr>
        <w:spacing w:before="200" w:after="60"/>
        <w:shd w:val="clear" w:color="auto" w:fill="EDE0F8"/>
      </w:pPr>
      <w:r>
        <w:rPr>
          <w:b/>
          <w:color w:val="4A0F7A"/>
          <w:sz w:val="22"/>
        </w:rPr>
        <w:t>🔗 Phase F — Federation &amp; Stitching  (2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SPARK-SMPL-F01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SampleV2</w:t>
            </w:r>
            <w:r>
              <w:rPr>
                <w:color w:val="373737"/>
                <w:sz w:val="17"/>
              </w:rPr>
              <w:t xml:space="preserve"> federated entity fetcher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Let other subgraphs resolve a Sample by key.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@DgsEntityFetcher(name="SampleV2") resolving by id, so product (`Product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entity resolves by key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Product { samples { id } }</w:t>
            </w:r>
            <w:r>
              <w:rPr>
                <w:color w:val="373737"/>
                <w:sz w:val="17"/>
              </w:rPr>
              <w:t xml:space="preserve"> cross-subgraph smoke test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📄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SPARK-SMPL-F02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Deferred drift mutation decision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Schema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E02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Decide the fate of superseded / drift sample mutations.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updateSampleEvaluations (no resolver — superseded by bulkEvaluateSamples), dropSamples/undropSamples (no resolver — run inside workspaceBusinessPartnerActionsV2)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decision + traffic survey</w:t>
            </w:r>
          </w:p>
        </w:tc>
      </w:tr>
    </w:tbl>
    <w:p/>
    <w:p>
      <w:pPr>
        <w:spacing w:before="200" w:after="60"/>
        <w:shd w:val="clear" w:color="auto" w:fill="D4EFDF"/>
      </w:pPr>
      <w:r>
        <w:rPr>
          <w:b/>
          <w:color w:val="0A4023"/>
          <w:sz w:val="22"/>
        </w:rPr>
        <w:t>🧪 Phase G — Field Resolvers &amp; Tests  (7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rHeight w:val="320" w:hRule="atLeast"/>
        </w:trPr>
        <w:tc>
          <w:tcPr>
            <w:shd w:val="clear" w:color="auto" w:fill="DAE8FC"/>
            <w:tcW w:w="2304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08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655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29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432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Key Tests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SPARK-SMPL-G01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Users (created/updated/evaluated + evaluators + primary roles)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userAttributes, role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the created / updated / evaluated-by people and evaluator roles.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each resolves; system-user branch preserved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SPARK-SMPL-G02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 xml:space="preserve">Prefix-gated parents + </w:t>
            </w:r>
            <w:r>
              <w:rPr>
                <w:rFonts w:ascii="Courier New" w:hAnsi="Courier New"/>
                <w:sz w:val="17"/>
              </w:rPr>
              <w:t>SampleAsset</w:t>
            </w:r>
            <w:r>
              <w:rPr>
                <w:color w:val="373737"/>
                <w:sz w:val="17"/>
              </w:rPr>
              <w:t xml:space="preserve"> union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D35400"/>
                <w:sz w:val="17"/>
              </w:rPr>
              <w:t>🟠 High [L]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product, trim, colorArchroma, combination, fabric, artwork, material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sample's parent (product / colour / fabric…) by id-prefix into the right type.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prefix-gated hydration — product (PID, product), colorArchroma (ARCCLR/TARARCCLR/REFARCCLR, colorArchroma), fabricSpecCombo (FSC, combination), fabricSpec (FAS…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each prefix routes to the right loader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asset</w:t>
            </w:r>
            <w:r>
              <w:rPr>
                <w:color w:val="373737"/>
                <w:sz w:val="17"/>
              </w:rPr>
              <w:t xml:space="preserve"> union resolves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non-matching → null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each prefix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union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null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SPARK-SMPL-G03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Partners (</w:t>
            </w:r>
            <w:r>
              <w:rPr>
                <w:rFonts w:ascii="Courier New" w:hAnsi="Courier New"/>
                <w:sz w:val="17"/>
              </w:rPr>
              <w:t>businessPartner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fabricSupplier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merchandiseVendors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brand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designPartnerId</w:t>
            </w:r>
            <w:r>
              <w:rPr>
                <w:color w:val="373737"/>
                <w:sz w:val="17"/>
              </w:rPr>
              <w:t>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vmm, brand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the business / fabric / vendor / brand partner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each resolves; empty → []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SPARK-SMPL-G04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workspace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sampleMeasurementSet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designCycle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clmPackage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workspaceV2, measurement, tag, tgtColorEvaluator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workspace, measurement, design-cycle and package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each resolves; gates preserved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SPARK-SMPL-G05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attachments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rfidLocationInfo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currentLocations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attachment and RFID-location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attachments via elastic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rfid latest-location preserved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SPARK-SMPL-G06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participants + sub-types (+ library color + department)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userGroup, vmm, color, ig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participant and related sub-type fields (library colour, department).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each resolves; Target-0 + system-user preserved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📄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SPARK-SMPL-G07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Tests, parity harness, load test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D35400"/>
                <w:sz w:val="17"/>
              </w:rPr>
              <w:t>🟠 High [L]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Tests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B02, E02, G02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Prove the sample subgraph matches the old gateway (incl. load test).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≥80% unit coverage; parity harness (incl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unit ≥80%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parity green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load p95 parity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schema-diff intentional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Parity: DGS response matches spark-internal-graphql baseline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Load: p95 latency is within spark-internal-graphql baseline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contract</w:t>
            </w:r>
          </w:p>
        </w:tc>
      </w:tr>
    </w:tbl>
    <w:p/>
    <w:sectPr w:rsidR="00FC693F" w:rsidRPr="0006063C" w:rsidSect="00034616">
      <w:pgSz w:w="12240" w:h="15840"/>
      <w:pgMar w:top="1020" w:right="85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