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Workspace</w:t>
      </w:r>
    </w:p>
    <w:p>
      <w:pPr>
        <w:spacing w:after="160"/>
      </w:pPr>
      <w:r>
        <w:rPr>
          <w:i/>
          <w:color w:val="444444"/>
          <w:sz w:val="22"/>
        </w:rPr>
        <w:t>Target DGS: plm-workspace (separate)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28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3  🟠 3  🟡 13  🟢 9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plm-workspace (separate)</w:t>
      </w:r>
      <w:r>
        <w:rPr>
          <w:color w:val="444444"/>
          <w:sz w:val="18"/>
        </w:rPr>
        <w:t xml:space="preserve">   |   Generated: 2026-07-07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Workspace</w:t>
      </w:r>
      <w:r>
        <w:rPr>
          <w:color w:val="373737"/>
          <w:sz w:val="20"/>
        </w:rPr>
        <w:t xml:space="preserve"> domain — the seasonal/working containers that group products, samples, teams, partners, attachments and discussions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its </w:t>
      </w:r>
      <w:r>
        <w:rPr>
          <w:b/>
          <w:color w:val="373737"/>
          <w:sz w:val="20"/>
        </w:rPr>
        <w:t>own `plm-workspace` DGS subgraph</w:t>
      </w:r>
      <w:r>
        <w:rPr>
          <w:color w:val="373737"/>
          <w:sz w:val="20"/>
        </w:rPr>
        <w:t xml:space="preserve">. - Workspace is a </w:t>
      </w:r>
      <w:r>
        <w:rPr>
          <w:b/>
          <w:color w:val="373737"/>
          <w:sz w:val="20"/>
        </w:rPr>
        <w:t>hub</w:t>
      </w:r>
      <w:r>
        <w:rPr>
          <w:color w:val="373737"/>
          <w:sz w:val="20"/>
        </w:rPr>
        <w:t xml:space="preserve">: nearly every product-family domain references a </w:t>
      </w:r>
      <w:r>
        <w:rPr>
          <w:rFonts w:ascii="Courier New" w:hAnsi="Courier New"/>
          <w:sz w:val="20"/>
        </w:rPr>
        <w:t>WorkspaceV2</w:t>
      </w:r>
      <w:r>
        <w:rPr>
          <w:color w:val="373737"/>
          <w:sz w:val="20"/>
        </w:rPr>
        <w:t>, and workspace itself reaches into product, search, discussion, sample, combination, attachment, relationship and access-control.</w:t>
      </w:r>
    </w:p>
    <w:p>
      <w:pPr>
        <w:spacing w:after="80"/>
      </w:pPr>
      <w:r>
        <w:rPr>
          <w:color w:val="373737"/>
          <w:sz w:val="20"/>
        </w:rPr>
        <w:t xml:space="preserve">- It is </w:t>
      </w:r>
      <w:r>
        <w:rPr>
          <w:b/>
          <w:color w:val="373737"/>
          <w:sz w:val="20"/>
        </w:rPr>
        <w:t>large and high-risk</w:t>
      </w:r>
      <w:r>
        <w:rPr>
          <w:color w:val="373737"/>
          <w:sz w:val="20"/>
        </w:rPr>
        <w:t xml:space="preserve">: 8 queries, 10 mutations (+2 schema-drift wrappers), ~25 field resolvers on a 1,060-line resolver. - The cost and risk concentrate in three places: the </w:t>
      </w:r>
      <w:r>
        <w:rPr>
          <w:b/>
          <w:color w:val="373737"/>
          <w:sz w:val="20"/>
        </w:rPr>
        <w:t>`workspaceBusinessPartnerActionsV2`</w:t>
      </w:r>
      <w:r>
        <w:rPr>
          <w:color w:val="373737"/>
          <w:sz w:val="20"/>
        </w:rPr>
        <w:t xml:space="preserve"> drop/undrop dispatcher (5 cases, manual compensation, and </w:t>
      </w:r>
      <w:r>
        <w:rPr>
          <w:b/>
          <w:color w:val="373737"/>
          <w:sz w:val="20"/>
        </w:rPr>
        <w:t>un-awaited promise chains</w:t>
      </w:r>
      <w:r>
        <w:rPr>
          <w:color w:val="373737"/>
          <w:sz w:val="20"/>
        </w:rPr>
        <w:t xml:space="preserve"> to fix), and the two heavy field resolvers </w:t>
      </w:r>
      <w:r>
        <w:rPr>
          <w:b/>
          <w:color w:val="373737"/>
          <w:sz w:val="20"/>
        </w:rPr>
        <w:t>`attachmentsWithMetaData`</w:t>
      </w:r>
      <w:r>
        <w:rPr>
          <w:color w:val="373737"/>
          <w:sz w:val="20"/>
        </w:rPr>
        <w:t xml:space="preserve"> and </w:t>
      </w:r>
      <w:r>
        <w:rPr>
          <w:b/>
          <w:color w:val="373737"/>
          <w:sz w:val="20"/>
        </w:rPr>
        <w:t>`counts`</w:t>
      </w:r>
      <w:r>
        <w:rPr>
          <w:color w:val="373737"/>
          <w:sz w:val="20"/>
        </w:rPr>
        <w:t xml:space="preserve"> (the workspace product dashboard).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ACL authorization is ignored in the DGS implementation; </w:t>
      </w:r>
      <w:r>
        <w:rPr>
          <w:b/>
          <w:color w:val="373737"/>
          <w:sz w:val="20"/>
        </w:rPr>
        <w:t>but</w:t>
      </w:r>
      <w:r>
        <w:rPr>
          <w:color w:val="373737"/>
          <w:sz w:val="20"/>
        </w:rPr>
        <w:t xml:space="preserve"> the drop/undrop </w:t>
      </w:r>
      <w:r>
        <w:rPr>
          <w:b/>
          <w:color w:val="373737"/>
          <w:sz w:val="20"/>
        </w:rPr>
        <w:t>resource bookkeeping</w:t>
      </w:r>
      <w:r>
        <w:rPr>
          <w:color w:val="373737"/>
          <w:sz w:val="20"/>
        </w:rPr>
        <w:t xml:space="preserve"> (which resources get dropped/undropped) IS real build work — it is data maintenance, not auth.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paged elastic; product/search-backed lookups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 (+2 deferred)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incl. the partner-action dispatcher + 3 exports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~3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WorkspaceV2</w:t>
            </w:r>
            <w:r>
              <w:rPr>
                <w:color w:val="373737"/>
                <w:sz w:val="18"/>
              </w:rPr>
              <w:t xml:space="preserve"> (~22), </w:t>
            </w:r>
            <w:r>
              <w:rPr>
                <w:rFonts w:ascii="Courier New" w:hAnsi="Courier New"/>
                <w:sz w:val="18"/>
              </w:rPr>
              <w:t>WorkspaceDepartmentV2</w:t>
            </w:r>
            <w:r>
              <w:rPr>
                <w:color w:val="373737"/>
                <w:sz w:val="18"/>
              </w:rPr>
              <w:t>, paged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14 keys (all cross-subgraph)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search/product/attachment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role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provides </w:t>
            </w:r>
            <w:r>
              <w:rPr>
                <w:rFonts w:ascii="Courier New" w:hAnsi="Courier New"/>
                <w:sz w:val="18"/>
              </w:rPr>
              <w:t>WorkspaceV2</w:t>
            </w:r>
            <w:r>
              <w:rPr>
                <w:color w:val="373737"/>
                <w:sz w:val="18"/>
              </w:rPr>
              <w:t xml:space="preserve"> entity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every product-family domain references it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32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green-field; separate subgraph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SPARK-SPIKE-0x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SPARK-WS-D04 — addResourcesToWorkspaceV2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SPARK-SPIKE-06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 / Hydration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SPARK-WS-E01 — workspaceBusinessPartnerActionsV2 (5-case drop/undrop dispatcher)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SPARK-SPIKE-03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Partner Drop/Undrop + Ownership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SPARK-WS-G04 — products + productsCount + combinations + sampleReport (cross-subgraph)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SPARK-SPIKE-06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 / Hydration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SPARK-WS-G05 — partners (businessPartners/droppedPartners/notRemovablePartnerIds/unDroppablePartners)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SPARK-SPIKE-04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Not-Removable / Undroppable Partners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8–14d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5–9d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16–27d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(partner-action dispatcher)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8–13d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decisions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34–56d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75–126d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15–26 sprints</w:t>
      </w:r>
      <w:r>
        <w:rPr>
          <w:color w:val="444444"/>
          <w:sz w:val="18"/>
        </w:rPr>
        <w:t>. Heavily parallelizable after B01; 2–3 engineers recommended.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~17–29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 — not recommended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~10–17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B/C/D parallel after B01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~7–11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E01 → G01/G02 → G08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C01/C02 + D06–D09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paged search + teams + exports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D01–D05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create/update/change + resource add/remove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5–6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E01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partner-action dispatcher (focused)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7–8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G01–G04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the heavy field resolvers (X-Large)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G05–G07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partners/hierarchy/users/computed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F01/F02 + G08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entity fetcher + drift decision + tests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SPARK-WS-B01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getWorkspaceV2(id, metric)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one workspace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getWorkspaceByIdV2 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workspace; miss→null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SPARK-WS-B02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getWorkspacesByIdsV2(ids)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several workspaces by ids.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getWorkspacesByIdsV2(jwt)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list for ids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SPARK-WS-B03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getWorkspaceTypeCount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Count workspaces by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getWorkspaceTypeCount({})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products/combinations/research counts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SPARK-WS-B04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findWorkspaceProductAndSampleIds(workspaceId, q, filter)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product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the product and sample ids in a workspace.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(product) getWorkspaceProducts({workspaceId, filter, q, page:0, size:10000}) → map {id:humanId, sampleIds:[sample.humanId]}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maps products + their sample human ids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SPARK-WS-B05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findWorkspaceClaims(workspaceId, q, filter)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a workspace's claims (via elastic).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getClaimsElastic({ q:"workspaceContext:{workspaceId}", page:0, size:10000 }) → .content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elastic query exact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SPARK-WS-B06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getWorkspacePackagingAttachments(workspaceId, bpId)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Find a workspace's packaging attachments by tag.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env WORKSPACE_PACKAGING_TAG_ID (throws if unset) → (search) searchAttachments({ q:"tags:{tag}[ AND security.bps:{bpId}]", relatedIds:[workspaceId], size:500…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throws if tag config missing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bp filter appended when present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SPARK-WS-B01: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workspace.graphqls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[03-schema.graphql](./03-schema.graphql).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SPARK-WS-C01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getWorkspacesPagedV2(...)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workspaces with paging / filters (V2).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getWorkspacesPagedV2 — array params CSV-joined (except page/size); omitBy drops empties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array→CSV; empties omitted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SPARK-WS-C02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getWorkspacesPagedV3(...)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workspaces with paging / filters (V3).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getWorkspacesPagedV3 — CSV-join except q/designPartnerIds; omitBy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CSV-join rules preserved (q/designPartnerIds passthrough)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(9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SPARK-WS-D01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createWorkspaceV2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workspace (rejects duplicates).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default workspaceType=103; POST … (validateUnique). Throw GraphQLError('Workspace already exists') if the response message starts with the dup text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creates; default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2. dup → GraphQLError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SPARK-WS-D02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updateWorkspaceV2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workspace (rejects duplicates).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workspace.id; default type 103; PUT … → same dup-check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updates; dup→throw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SPARK-WS-D03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changeWorkspace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Move resources from one workspace to another.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Attr-{newWs}-resources → PUT … with {newWorkspaceId, oldWorkspaceId, productHumanId, teams, removeWorkspaceOnly}. Throw on validationErrors/message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moves product between workspaces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error→throw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SPARK-WS-D04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addResourcesToWorkspaceV2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SPARK-SPIKE-06 (Cross-Domain Association / Hydration)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product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SPARK-SPIKE-06, 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 products / samples to a workspace.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token; if single product → (product) read Product.workspaces + updateViewToggle (init workspace attrs; firstWorkspace adds designCycle/setDates); POST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 resources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single-product init side-effect preserved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SPARK-WS-D05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removeWorkspaceResourcesV2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product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 resources from a workspace.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token; if single product → (product) deletePartnerWorkspaceStatuses cleanup; DELETE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removes resources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single-product status cleanup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SPARK-WS-D06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addTeamsToWorkspaceV3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 teams to a workspace.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POST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 teams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SPARK-WS-D07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exportWorkspace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Kick off a workspace export.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requestBulkAttachmentExport({parentResourceId, exportType, includedAttachmentIds, includeOnlyPrimaryThumbnails}, {q, filter})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receipt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SPARK-WS-D08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exportWorkspaceExcel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exportHub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Export a workspace to Excel.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(exportHub) exportWorkspaceExcel(workspaceExportOptions)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receipt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SPARK-WS-D09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exportPackagingFiles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Export a workspace's packaging files.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requestPackagingExport({workspaceId, workspaceDescription, exportContext, exportType}, {q, filter})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receipt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SPARK-WS-E01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workspaceBusinessPartnerActionsV2</w:t>
            </w:r>
            <w:r>
              <w:rPr>
                <w:color w:val="373737"/>
                <w:sz w:val="17"/>
              </w:rPr>
              <w:t xml:space="preserve"> (5-case drop/undrop dispatcher)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SPARK-SPIKE-03 (Partner Drop/Undrop + Ownership)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relationship, discussion, sampleV2, favorite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SPARK-SPIKE-03, 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Drop / undrop a partner (or remove team/partner) across a workspace — a 5-case orchestrated write.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~310-line switch — REMOVE_TEAM, REMOVE_PARTNER, DROP_PARTNER, - UNDO_DROP_PARTNER, DROP_UNDROP_PARTNER. - Builds a relationship tree (relationship), ACL-filters…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chains awaited; compensation on ACL failure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design-partner skips samples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REMOVE_TEAM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REMOVE_PARTNER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DROP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UNDO_DROP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DROP_UNDROP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SPARK-WS-F01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WorkspaceV2</w:t>
            </w:r>
            <w:r>
              <w:rPr>
                <w:color w:val="373737"/>
                <w:sz w:val="17"/>
              </w:rPr>
              <w:t xml:space="preserve"> federated entity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Let other subgraphs resolve a Workspace by key.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@DgsEntityFetcher(name="WorkspaceV2") resolving by id, so the product-family subgraphs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entity resolves by key from </w:t>
            </w:r>
            <w:r>
              <w:rPr>
                <w:rFonts w:ascii="Courier New" w:hAnsi="Courier New"/>
                <w:sz w:val="17"/>
              </w:rPr>
              <w:t>_entities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 cross-subgraph </w:t>
            </w:r>
            <w:r>
              <w:rPr>
                <w:rFonts w:ascii="Courier New" w:hAnsi="Courier New"/>
                <w:sz w:val="17"/>
              </w:rPr>
              <w:t>Product { workspaces { id description } }</w:t>
            </w:r>
            <w:r>
              <w:rPr>
                <w:color w:val="373737"/>
                <w:sz w:val="17"/>
              </w:rPr>
              <w:t xml:space="preserve"> smoke test passes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SPARK-WS-F02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Deferred drop/undrop wrapper decision (drift mutations)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Schema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Decide the fate of the drop/undrop drift wrappers.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dropWorkspaceBusinessPartnerV2/unDropWorkspaceBusinessPartnerV2 are schema-drift wrappers; traffic routes through workspaceBusinessPartnerActionsV2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traffic survey complete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decision implemented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(8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SPARK-WS-G01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WorkspaceV2.attachmentsWithMetaData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relationship, attachment, discussion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workspace's attachments, enriched with discussion metadata.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(relationship) tree (attachments_v3/discussions/discussionThreads) → - (attachment) getAttachmentsV3 → (discussion) batch discussions/threads → merge → order by…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mixed attachment/discussion/thread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ordering + draft filter preserved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ordering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draft filter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SPARK-WS-G02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WorkspaceV2.counts</w:t>
            </w:r>
            <w:r>
              <w:rPr>
                <w:color w:val="373737"/>
                <w:sz w:val="17"/>
              </w:rPr>
              <w:t xml:space="preserve"> (product dashboard rollup)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product, discussion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Roll up a workspace's product / sample / discussion counts for the dashboard.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getFilteredProductsWithSummary → (product) getPage → - (discussion) product discussion counts + (search) sample counts + sample-discussion roll-up into…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the full rollup incl. sample-discussion increment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empty → zeros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rollup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sample-discussion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empty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SPARK-WS-G03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WorkspaceV2.attachmentsV3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relationship, attachment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workspace's attachments (with / without per-partner counts).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with args → getProductOrWorkSpaceAttachments (per-BP counts via initialCountsByBp); without args → relationship tree → resolveRelationIds → filter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both arg/no-arg paths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per-BP counts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with args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no args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counts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SPARK-WS-G04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productsCount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combinations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sampleReport</w:t>
            </w:r>
            <w:r>
              <w:rPr>
                <w:color w:val="373737"/>
                <w:sz w:val="17"/>
              </w:rPr>
              <w:t xml:space="preserve"> (cross-subgraph)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SPARK-SPIKE-06 (Cross-Domain Association / Hydration)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product, search, combination, sampleV2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SPARK-SPIKE-06, 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workspace's cross-subgraph product / combination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products → (product) getProducts(resourceType:'workspaces', resourceId, include*: true); productsCount → (product) getPage totalElements; combinations → (search)…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include flags forwarded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sampleReport round counts correct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products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count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combinations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sampleReport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SPARK-WS-G05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partners (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droppedPartners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notRemovablePartnerIds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unDroppablePartners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SPARK-SPIKE-04 (Not-Removable / Undroppable Partners)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SPARK-SPIKE-04, 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workspace's business / dropped / not-removable partner lists.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resolves; unDroppable gated on </w:t>
            </w:r>
            <w:r>
              <w:rPr>
                <w:rFonts w:ascii="Courier New" w:hAnsi="Courier New"/>
                <w:sz w:val="17"/>
              </w:rPr>
              <w:t>isDesignPartner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SPARK-WS-G06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hierarchy/tags (</w:t>
            </w:r>
            <w:r>
              <w:rPr>
                <w:rFonts w:ascii="Courier New" w:hAnsi="Courier New"/>
                <w:sz w:val="17"/>
              </w:rPr>
              <w:t>divisions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brands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clazzes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designCycles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tags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WorkspaceDepartmentV2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ig, brand, tag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workspace's division / brand / class / design-cycle / tag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empty → []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SPARK-WS-G07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users/computed (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discussionsV2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teams</w:t>
            </w:r>
            <w:r>
              <w:rPr>
                <w:color w:val="373737"/>
                <w:sz w:val="17"/>
              </w:rPr>
              <w:t xml:space="preserve"> + paged)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workspace's people, status and discussion / team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computed mappings correct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users/discussions/teams resolve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SPARK-WS-G08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Tests, parity harness, load test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B01, E01, G01, G02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workspace subgraph matches the old gateway (incl. load test).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harness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load p95 parity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Load: p95 latency is within spark-internal-graphql baseline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contract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