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steps in </w:t>
      </w:r>
      <w:r>
        <w:rPr>
          <w:rFonts w:ascii="Courier New" w:hAnsi="Courier New"/>
          <w:sz w:val="20"/>
        </w:rPr>
        <w:t>updatePackaging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42–72d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9–15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 (+3)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(5–8d)&lt;br&gt;🟢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~27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FederatedGqlBreakDown-packaging.md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