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2026-07-16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200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76 Medium · 🟢 105 Low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2026-07-16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the program-level working decision, ACL is </w:t>
      </w:r>
      <w:r>
        <w:rPr>
          <w:b/>
          <w:color w:val="373737"/>
          <w:sz w:val="19"/>
        </w:rPr>
        <w:t>not</w:t>
      </w:r>
      <w:r>
        <w:rPr>
          <w:color w:val="373737"/>
          <w:sz w:val="19"/>
        </w:rPr>
        <w:t xml:space="preserve"> re-implemented in the DGS layer — each domain service performs its own access control. Each complex case carries a scenario ADR (</w:t>
      </w:r>
      <w:r>
        <w:rPr>
          <w:rFonts w:ascii="Courier New" w:hAnsi="Courier New"/>
          <w:sz w:val="19"/>
        </w:rPr>
        <w:t>complexStories/*/02-adr-noacl-*.md</w:t>
      </w:r>
      <w:r>
        <w:rPr>
          <w:color w:val="373737"/>
          <w:sz w:val="19"/>
        </w:rPr>
        <w:t>) recording this assumption's impact; those ratify together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A–G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(A→G)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boundaries — one story per cross-domain edge (</w:t>
            </w:r>
            <w:r>
              <w:rPr>
                <w:rFonts w:ascii="Courier New" w:hAnsi="Courier New"/>
                <w:sz w:val="18"/>
              </w:rPr>
              <w:t>@extends @external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A–G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>, per-step policy)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E-03/E-04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ADR-012 proposed (owner-orchestrated saga + participant contract)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ADR-017 proposed (per-site ports + CI conformance gate)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per-edge rule to decide (no draft ADR yet)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ADR-011 proposed (sync orchestration + shared association component)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87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4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25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FederatedGqlBrakDown-BE-bom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FederatedGqlBrakDown-BE-claims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FederatedGqlBrakDown-BE-impression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FederatedGqlBrakDown-BE-measurement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FederatedGqlBrakDown-BE-packaging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FederatedGqlBrakDown-BE-product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FederatedGqlBrakDown-BE-productDetails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FederatedGqlBrakDown-BE-watchlist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(`F-01`–`F-08`)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