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 Details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7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ProductDetails</w:t>
      </w:r>
      <w:r>
        <w:rPr>
          <w:color w:val="373737"/>
          <w:sz w:val="20"/>
        </w:rPr>
        <w:t xml:space="preserve"> domain — the product's "construction" sets (build/assembly detail rows, their attachments, and per-partner access)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2 queries, 6 mutations, 12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(In the backend this domain is called </w:t>
      </w:r>
      <w:r>
        <w:rPr>
          <w:i/>
          <w:color w:val="373737"/>
          <w:sz w:val="20"/>
        </w:rPr>
        <w:t>construction</w:t>
      </w:r>
      <w:r>
        <w:rPr>
          <w:color w:val="373737"/>
          <w:sz w:val="20"/>
        </w:rPr>
        <w:t xml:space="preserve"> — </w:t>
      </w:r>
      <w:r>
        <w:rPr>
          <w:rFonts w:ascii="Courier New" w:hAnsi="Courier New"/>
          <w:sz w:val="20"/>
        </w:rPr>
        <w:t>construction/v1</w:t>
      </w:r>
      <w:r>
        <w:rPr>
          <w:color w:val="373737"/>
          <w:sz w:val="20"/>
        </w:rPr>
        <w:t xml:space="preserve">; the GraphQL names stay </w:t>
      </w:r>
      <w:r>
        <w:rPr>
          <w:rFonts w:ascii="Courier New" w:hAnsi="Courier New"/>
          <w:sz w:val="20"/>
        </w:rPr>
        <w:t>productDetails</w:t>
      </w:r>
      <w:r>
        <w:rPr>
          <w:color w:val="373737"/>
          <w:sz w:val="20"/>
        </w:rPr>
        <w:t>.)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`updateProductDetailsSet`</w:t>
      </w:r>
      <w:r>
        <w:rPr>
          <w:color w:val="373737"/>
          <w:sz w:val="20"/>
        </w:rPr>
        <w:t>, a multi-step write — workspace associations, then bulk-archive removed attachments, then the body —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by-ids (internal), one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ProductDetails</w:t>
            </w:r>
            <w:r>
              <w:rPr>
                <w:color w:val="373737"/>
                <w:sz w:val="18"/>
              </w:rPr>
              <w:t xml:space="preserve"> (10), item (2), category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PDTL-BE-E-01 — updateProductDetailsSet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24–42d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5–9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D-01–D-05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write + Product field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 &amp; parity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getProductDetailsById(ids)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product-detail (construction)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ids → GET construction/v1?ids={csv}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 for ids; empty → []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PDTL-BE-B-01: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productDetails.graphqls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getProductDetailsElastic(resourceId)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product-detail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search.getProductDetailsElastic → paged. -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paged shape returned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createProductDetailsSet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literal capability → POST construction/v1 (snake_case). If response has validationErrors or 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 (not a partial object)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updateProductDetailAccess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map managePermissionsRequest[].resourceId → token → PUT construction/v1/manage-permissions (primeKey=humanId)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access for each resource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productDetailLockUnlock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or unlock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[constructionSetId] → PUT construction/v1/{id}/{lock\|unlock}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isLock=true</w:t>
            </w:r>
            <w:r>
              <w:rPr>
                <w:color w:val="373737"/>
                <w:sz w:val="17"/>
              </w:rPr>
              <w:t>→lock path, false→unlock path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cloneFilesForProductDetails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No…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clones each id with its paired cloneReference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product-detail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construction/v1/component_status_update; wraps result as {content}.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updates statuses; result wrapped as </w:t>
            </w:r>
            <w:r>
              <w:rPr>
                <w:rFonts w:ascii="Courier New" w:hAnsi="Courier New"/>
                <w:sz w:val="17"/>
              </w:rPr>
              <w:t>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PDTL-BE-E-01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updateProductDetailsSet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product-detail set — a multi-step write (workspace + body)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workspaceContext.{add,remove}Workspaces non-empty → workspaceAssociationHelper(PRODUCT_DETAIL, id, add, remove) (throws on error); 2) null workspaceContext;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4 steps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throws propagate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full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workspace-only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attachment-archive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product-details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productDetails resolved from the co-located ProductDetails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resolves in-process; no gateway hop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 → accessControl.getPermissions([humanId\|\|id])[0]; currentUserPermissions → getUserAccessUnencoded(humanId\|\|id)[0]; participantDetails → getUserGroup(humanId)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resolves; null-safe on empty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product, people, partner and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(internal, only if parentId starts 'PID'), createdBy/updatedBy (user-profile), businessPartners (vmm loadBpsWithType), workspaces (workspaceV2 by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+ item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constructionSetAttachments</w:t>
            </w:r>
            <w:r>
              <w:rPr>
                <w:color w:val="373737"/>
                <w:sz w:val="17"/>
              </w:rPr>
              <w:t xml:space="preserve"> + category </w:t>
            </w:r>
            <w:r>
              <w:rPr>
                <w:rFonts w:ascii="Courier New" w:hAnsi="Courier New"/>
                <w:sz w:val="17"/>
              </w:rPr>
              <w:t>subCategories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attachment and category fields on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ProductDetails.attachment → (search) searchAttachments([humanId\|\|id]), find - relatedResources.length&lt;=2; ProductDetailsItem.attachment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length-≤2 filter preserved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E-01, G-01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product-details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fixtures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intentional-only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