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Watchlist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13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M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1  🟡 6  🟢 6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2026-07-16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Watchlist</w:t>
      </w:r>
      <w:r>
        <w:rPr>
          <w:color w:val="373737"/>
          <w:sz w:val="20"/>
        </w:rPr>
        <w:t xml:space="preserve"> domain — quality watchlist entries on a product (reasons, statuses, inspections, partners, attachments)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DGS. - It is </w:t>
      </w:r>
      <w:r>
        <w:rPr>
          <w:b/>
          <w:color w:val="373737"/>
          <w:sz w:val="20"/>
        </w:rPr>
        <w:t>small and mid-low risk</w:t>
      </w:r>
      <w:r>
        <w:rPr>
          <w:color w:val="373737"/>
          <w:sz w:val="20"/>
        </w:rPr>
        <w:t xml:space="preserve">: 4 queries, 3 mutations, 13 field resolvers on a 129-line resolver, with </w:t>
      </w:r>
      <w:r>
        <w:rPr>
          <w:b/>
          <w:color w:val="373737"/>
          <w:sz w:val="20"/>
        </w:rPr>
        <w:t>no polymorphism</w:t>
      </w:r>
      <w:r>
        <w:rPr>
          <w:color w:val="373737"/>
          <w:sz w:val="20"/>
        </w:rPr>
        <w:t xml:space="preserve">. - It is </w:t>
      </w:r>
      <w:r>
        <w:rPr>
          <w:b/>
          <w:color w:val="373737"/>
          <w:sz w:val="20"/>
        </w:rPr>
        <w:t>co-located</w:t>
      </w:r>
      <w:r>
        <w:rPr>
          <w:color w:val="373737"/>
          <w:sz w:val="20"/>
        </w:rPr>
        <w:t xml:space="preserve"> in the product family, so </w:t>
      </w:r>
      <w:r>
        <w:rPr>
          <w:rFonts w:ascii="Courier New" w:hAnsi="Courier New"/>
          <w:sz w:val="20"/>
        </w:rPr>
        <w:t>Product.watchlists</w:t>
      </w:r>
      <w:r>
        <w:rPr>
          <w:color w:val="373737"/>
          <w:sz w:val="20"/>
        </w:rPr>
        <w:t xml:space="preserve"> and the TechPack </w:t>
      </w:r>
      <w:r>
        <w:rPr>
          <w:rFonts w:ascii="Courier New" w:hAnsi="Courier New"/>
          <w:sz w:val="20"/>
        </w:rPr>
        <w:t>ResourcesCount.watchlists</w:t>
      </w:r>
      <w:r>
        <w:rPr>
          <w:color w:val="373737"/>
          <w:sz w:val="20"/>
        </w:rPr>
        <w:t xml:space="preserve"> count resolve </w:t>
      </w:r>
      <w:r>
        <w:rPr>
          <w:b/>
          <w:color w:val="373737"/>
          <w:sz w:val="20"/>
        </w:rPr>
        <w:t>internally</w:t>
      </w:r>
      <w:r>
        <w:rPr>
          <w:color w:val="373737"/>
          <w:sz w:val="20"/>
        </w:rPr>
        <w:t xml:space="preserve"> (not across the federation gateway).</w:t>
      </w:r>
    </w:p>
    <w:p>
      <w:pPr>
        <w:spacing w:after="80"/>
      </w:pPr>
      <w:r>
        <w:rPr>
          <w:color w:val="373737"/>
          <w:sz w:val="20"/>
        </w:rPr>
        <w:t xml:space="preserve">The one genuinely harder piece is </w:t>
      </w:r>
      <w:r>
        <w:rPr>
          <w:b/>
          <w:color w:val="373737"/>
          <w:sz w:val="20"/>
        </w:rPr>
        <w:t>`updateWatchlistEntries`</w:t>
      </w:r>
      <w:r>
        <w:rPr>
          <w:color w:val="373737"/>
          <w:sz w:val="20"/>
        </w:rPr>
        <w:t xml:space="preserve">, a multi-step write (user-group upsert, then the body, then attachment archival) that today </w:t>
      </w:r>
      <w:r>
        <w:rPr>
          <w:b/>
          <w:color w:val="373737"/>
          <w:sz w:val="20"/>
        </w:rPr>
        <w:t>does not await</w:t>
      </w:r>
      <w:r>
        <w:rPr>
          <w:color w:val="373737"/>
          <w:sz w:val="20"/>
        </w:rPr>
        <w:t xml:space="preserve"> its per-entry user-group updates — a race to fix on the port.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per-resource capability tokens via ACL; Per the program-level working decision, </w:t>
      </w:r>
      <w:r>
        <w:rPr>
          <w:b/>
          <w:color w:val="373737"/>
          <w:sz w:val="20"/>
        </w:rPr>
        <w:t>the DGS layer carries no ACL plumbing story</w:t>
      </w:r>
      <w:r>
        <w:rPr>
          <w:color w:val="373737"/>
          <w:sz w:val="20"/>
        </w:rPr>
        <w:t xml:space="preserve"> — each domain service performs its own access control; scenario ADRs (</w:t>
      </w:r>
      <w:r>
        <w:rPr>
          <w:rFonts w:ascii="Courier New" w:hAnsi="Courier New"/>
          <w:sz w:val="20"/>
        </w:rPr>
        <w:t>complexStories/*/02-adr-noacl-*.md</w:t>
      </w:r>
      <w:r>
        <w:rPr>
          <w:color w:val="373737"/>
          <w:sz w:val="20"/>
        </w:rPr>
        <w:t>) record the assumption's impact and ratify with the global decision. ACL is noted in stories for context only.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cacheable master-data; 1 four-step filtered read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2 simple + </w:t>
            </w:r>
            <w:r>
              <w:rPr>
                <w:rFonts w:ascii="Courier New" w:hAnsi="Courier New"/>
                <w:sz w:val="18"/>
              </w:rPr>
              <w:t>updateWatchlistEntries</w:t>
            </w:r>
            <w:r>
              <w:rPr>
                <w:color w:val="373737"/>
                <w:sz w:val="18"/>
              </w:rPr>
              <w:t xml:space="preserve"> (multi-step)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</w:t>
            </w:r>
            <w:r>
              <w:rPr>
                <w:color w:val="373737"/>
                <w:sz w:val="18"/>
              </w:rPr>
              <w:t xml:space="preserve"> (10), inspection (2), partner (1)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 keys (2 🔴 · 2 🟡 · 2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search/attachment 🔴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(Product, ResourcesCount)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internal</w:t>
            </w:r>
            <w:r>
              <w:rPr>
                <w:color w:val="373737"/>
                <w:sz w:val="18"/>
              </w:rPr>
              <w:t xml:space="preserve"> (co-located)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13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WATCHLIST-BE-E-01 — updateWatchlistEntries (multi-step write)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3–6d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</w:t>
            </w:r>
            <w:r>
              <w:rPr>
                <w:rFonts w:ascii="Courier New" w:hAnsi="Courier New"/>
                <w:sz w:val="18"/>
              </w:rPr>
              <w:t>updateWatchlistEntries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(Product + TechPack, internal)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2–4d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9–15d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13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25–44d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5–9 sprints</w:t>
      </w:r>
      <w:r>
        <w:rPr>
          <w:color w:val="444444"/>
          <w:sz w:val="18"/>
        </w:rPr>
        <w:t>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~6–11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~4–6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 after B-01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service port,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C-01 + D-01/D-02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filtered read + 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E-01 + F-01/F-02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multi-step update + Product/TechPack internal contributions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G-01–G-03 + G-04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+ tests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>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G-03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G-04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G-04</w:t>
      </w:r>
      <w:r>
        <w:rPr>
          <w:color w:val="373737"/>
          <w:sz w:val="19"/>
        </w:rPr>
        <w:t xml:space="preserve"> — 3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(3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getWatchlistByIds(ids)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watchlist entries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GET watchlist/v1?watchlistIds={csv} →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entries for ids; empty → []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getWatchlistReasons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watchlist-reason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watchlist/v1/watchlist_reasons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reasons; cached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WATCHLIST-BE-B-03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getWatchlistInspectionActions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inspection-action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watchlist/v1/watchlist_inspection_action_types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actions; cached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WATCHLIST-BE-B-01: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watchlist.graphqls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[be-03-schema.graphql](./be-03-schema.graphql).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getWatchlistByFilter(...)</w:t>
            </w:r>
            <w:r>
              <w:rPr>
                <w:color w:val="373737"/>
                <w:sz w:val="17"/>
              </w:rPr>
              <w:t xml:space="preserve"> (4-step read)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search, product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watchlist entries for a workspace's products (a 4-step read).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(internal) product.getWorkspaceProducts({q,filter,workspaceId,page,size}) → product humanIds → (search) searchWatchlist({ q:"parentId:(... OR ...) AND…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product→search→watchlist chain preserved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elastic query string exact (incl. </w:t>
            </w:r>
            <w:r>
              <w:rPr>
                <w:rFonts w:ascii="Courier New" w:hAnsi="Courier New"/>
                <w:sz w:val="17"/>
              </w:rPr>
              <w:t>statusId: 501</w:t>
            </w:r>
            <w:r>
              <w:rPr>
                <w:color w:val="373737"/>
                <w:sz w:val="17"/>
              </w:rPr>
              <w:t>)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createWatchlistEntries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userGroup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watchlist entries (and their user-groups).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Promise.all(entries.map(w =&gt; { createWatchlistEntries([w]); throw on validationErrors/message; then (user-group) addUserGroup({resourceId:humanId, participantDetails…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 each entry + its user group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either failure → exception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cloneFilesForWatchlist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Copy attachment files for watchlist entries.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Promise.all(attachmentIds.map((id,i) =&gt; (attachment) cloneAttachmentV3({cloneReferences:[cloneReference[i]]}, id))), stamp parentResource=id, flatten. EXT…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clones each id with its paired cloneReference; </w:t>
            </w:r>
            <w:r>
              <w:rPr>
                <w:rFonts w:ascii="Courier New" w:hAnsi="Courier New"/>
                <w:sz w:val="17"/>
              </w:rPr>
              <w:t>parentResource</w:t>
            </w:r>
            <w:r>
              <w:rPr>
                <w:color w:val="373737"/>
                <w:sz w:val="17"/>
              </w:rPr>
              <w:t xml:space="preserve"> stamped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WATCHLIST-BE-E-01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updateWatchlistEntries</w:t>
            </w:r>
            <w:r>
              <w:rPr>
                <w:color w:val="373737"/>
                <w:sz w:val="17"/>
              </w:rPr>
              <w:t xml:space="preserve"> (multi-step write)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userGroup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watchlist entries — a multi-step write (user-groups + body); today the group step isn't awaited (a bug).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per-entry (currently NOT awaited — bug): getUserGroups([humanId]); if existing participants → updateUserGroup, else (user-group) addUserGroup (throw on error); 2)…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user-group upserts complete before the watchlist update (race fixed)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removed attachments archived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partial-failure strategy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existing-participants path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new-participants path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attachment archive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ordering/await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partial-failure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WATCHLIST-BE-F-01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Product.watchlists</w:t>
            </w:r>
            <w:r>
              <w:rPr>
                <w:color w:val="373737"/>
                <w:sz w:val="17"/>
              </w:rPr>
              <w:t xml:space="preserve"> (internal)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a product's watchlists on the Product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exposes watchlists resolved from the co-located watchlist service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resolves in-process; no gateway hop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WATCHLIST-BE-F-02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ResourcesCount.watchlists</w:t>
            </w:r>
            <w:r>
              <w:rPr>
                <w:color w:val="373737"/>
                <w:sz w:val="17"/>
              </w:rPr>
              <w:t xml:space="preserve"> (internal — TechPack)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Contribute the watchlists count to the TechPack rollup.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fill the TechPack `ResourcesCount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count resolves in-process; parity vs the TechPack facade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(4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WATCHLIST-BE-G-01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Computed flatteners (status/reasons/inspection action)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Flatten status / reason / inspection-action codes into readable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statusId=status.code, statusName=status.description, reasonIds=reasons[].code, reasons=reasons[].description; WatchlistInspection.actionId=action.code…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flattener maps correctly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updatedBy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participantDetails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partnerName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userAttributes, workspaceV2, userGroup, vmm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people, workspace and partner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resolves; null-safe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WATCHLIST-BE-G-03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attachments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watchlist entry's attachments and parent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attachments via elastic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not </w:t>
            </w:r>
            <w:r>
              <w:rPr>
                <w:rFonts w:ascii="Courier New" w:hAnsi="Courier New"/>
                <w:sz w:val="17"/>
              </w:rPr>
              <w:t>PID*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WATCHLIST-BE-G-04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Tests, parity harness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Tests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B-01, C-01, E-01, G-02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Prove the watchlist subgraph matches the old gateway.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≥80% unit coverage; parity fixtures (incl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unit ≥80%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green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schema-diff intentional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