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Federated GraphQL Breakdown — Product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320"/>
        <w:gridCol w:w="4320"/>
      </w:tblGrid>
      <w:tr>
        <w:trPr>
          <w:trHeight w:val="360" w:hRule="atLeast"/>
        </w:trPr>
        <w:tc>
          <w:tcPr>
            <w:tcW w:type="dxa" w:w="432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432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plm-product (host)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3 High · 🟡 8 Medium · 🟢 0 Low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63–97 days (single-engineer)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66 operation-to-root-field rows · 20 client files · 48 components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2026-07-16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Product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plm-product (host)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360" w:hRule="atLeast"/>
        </w:trPr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getProduct</w:t>
            </w:r>
            <w:r>
              <w:rPr>
                <w:color w:val="373737"/>
                <w:sz w:val="18"/>
              </w:rPr>
              <w:t xml:space="preserve"> documents in product-queries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10–15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PRODUCT-BE-B-01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shared-library </w:t>
            </w:r>
            <w:r>
              <w:rPr>
                <w:rFonts w:ascii="Courier New" w:hAnsi="Courier New"/>
                <w:sz w:val="18"/>
              </w:rPr>
              <w:t>getProduct</w:t>
            </w:r>
            <w:r>
              <w:rPr>
                <w:color w:val="373737"/>
                <w:sz w:val="18"/>
              </w:rPr>
              <w:t xml:space="preserve"> consumers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 days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getProductVersions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product list and bulk reads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8–12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PRODUCT-BE-S-02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getProductsByIds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product status and workspace-context reads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 days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PRODUCT-BE-B-03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getProductStatus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template library and categories reads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PRODUCT-BE-C-02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PRODUCT-BE-C-03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getProductTemplates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getCategories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product rules administration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+ mutation migration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PRODUCT-BE-B-07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PRODUCT-BE-B-09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PRODUCT-BE-B-10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PRODUCT-BE-B-11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PRODUCT-BE-C-05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PRODUCT-BE-D-17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getProductRules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getProductRulesById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getAllAvailableRules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getProductDeptRules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getProductBPRules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searchProductRules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addProductRule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updateProductRule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deleteProductRule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simple product mutations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6–10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PRODUCT-BE-D-10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PRODUCT-BE-D-14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addProduct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addProducts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bulkUpdateProducts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carryForwardProduct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updateViewToggle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linkProduct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unlinkProduct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team and partner assignment mutations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PRODUCT-BE-D-06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addTeamsToProduct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addBusinessPartnersToProductWithType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updateProductTeamsWorkspaceContext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partner drop/undrop orchestration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 (complex)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8–12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PRODUCT-BE-S-03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productBusinessPartnerActions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updateBusinessPartnerStatuses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PRODUCT-FE-010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TechPack count queries (facade-then-federate)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 (staged)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 (step 1) + 4–6 days (step 2)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PRODUCT-BE-E-03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PRODUCT-BE-E-04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getProductTechPackCountV1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getProductTechPackBulkCountV1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PRODUCT-FE-011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component status rollups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+ mutation migration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PRODUCT-BE-E-02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updateComponentStatus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updateComponentStatuses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2160"/>
        <w:gridCol w:w="2160"/>
        <w:gridCol w:w="2160"/>
      </w:tblGrid>
      <w:tr>
        <w:trPr>
          <w:trHeight w:val="360" w:hRule="atLeast"/>
        </w:trPr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PRODUCT-FE-001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PRODUCT-FE-004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PRODUCT-FE-001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PRODUCT-BE-B-01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PRODUCT-FE-004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PRODUCT-BE-B-03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PRODUCT-FE-005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PRODUCT-BE-B-04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PRODUCT-FE-005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PRODUCT-BE-C-02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PRODUCT-BE-C-03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 — needs backend phase C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PRODUCT-FE-006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PRODUCT-FE-007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PRODUCT-FE-008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PRODUCT-FE-006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PRODUCT-BE-B-07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PRODUCT-BE-B-09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PRODUCT-BE-B-10</w:t>
            </w:r>
            <w:r>
              <w:rPr>
                <w:color w:val="373737"/>
                <w:sz w:val="18"/>
              </w:rPr>
              <w:t xml:space="preserve"> (+5)&lt;br&gt;</w:t>
            </w:r>
            <w:r>
              <w:rPr>
                <w:rFonts w:ascii="Courier New" w:hAnsi="Courier New"/>
                <w:sz w:val="18"/>
              </w:rPr>
              <w:t>PRODUCT-FE-007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PRODUCT-BE-D-04</w:t>
            </w:r>
            <w:r>
              <w:rPr>
                <w:color w:val="373737"/>
                <w:sz w:val="18"/>
              </w:rPr>
              <w:t xml:space="preserve"> (+4)&lt;br&gt;</w:t>
            </w:r>
            <w:r>
              <w:rPr>
                <w:rFonts w:ascii="Courier New" w:hAnsi="Courier New"/>
                <w:sz w:val="18"/>
              </w:rPr>
              <w:t>PRODUCT-FE-008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PRODUCT-BE-D-06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PRODUCT-BE-D-12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PRODUCT-FE-010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PRODUCT-FE-011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PRODUCT-FE-010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PRODUCT-BE-E-03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PRODUCT-BE-E-04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PRODUCT-FE-011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PRODUCT-BE-E-02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PRODUCT-FE-003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PRODUCT-FE-009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PRODUCT-FE-003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PRODUCT-BE-S-02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PRODUCT-BE-B-02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PRODUCT-FE-009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PRODUCT-BE-S-03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PRODUCT-BE-D-09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Externally gated — search/read-hub decision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PRODUCT-FE-001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PRODUCT-FE-010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PRODUCT-FE-011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PRODUCT-FE-009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FederatedGqlBrakDown-BE-product.md — the backend breakdown this cutover follows.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