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Product Details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12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M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1  🟡 6  🟢 5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2026-07-21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40"/>
        </w:rPr>
        <w:t>Backend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We are moving the </w:t>
      </w:r>
      <w:r>
        <w:rPr>
          <w:b/>
          <w:color w:val="373737"/>
          <w:sz w:val="20"/>
        </w:rPr>
        <w:t>ProductDetails</w:t>
      </w:r>
      <w:r>
        <w:rPr>
          <w:color w:val="373737"/>
          <w:sz w:val="20"/>
        </w:rPr>
        <w:t xml:space="preserve"> domain — the product's "construction" sets (build/assembly detail rows, their attachments, and per-partner access)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It is </w:t>
      </w:r>
      <w:r>
        <w:rPr>
          <w:b/>
          <w:color w:val="373737"/>
          <w:sz w:val="20"/>
        </w:rPr>
        <w:t>mid-sized and mid-low risk</w:t>
      </w:r>
      <w:r>
        <w:rPr>
          <w:color w:val="373737"/>
          <w:sz w:val="20"/>
        </w:rPr>
        <w:t xml:space="preserve">: 2 queries, 6 mutations, 12 field resolvers on a 129-line resolver, with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 xml:space="preserve">. (In the backend this domain is called </w:t>
      </w:r>
      <w:r>
        <w:rPr>
          <w:i/>
          <w:color w:val="373737"/>
          <w:sz w:val="20"/>
        </w:rPr>
        <w:t>construction</w:t>
      </w:r>
      <w:r>
        <w:rPr>
          <w:color w:val="373737"/>
          <w:sz w:val="20"/>
        </w:rPr>
        <w:t xml:space="preserve"> — </w:t>
      </w:r>
      <w:r>
        <w:rPr>
          <w:rFonts w:ascii="Courier New" w:hAnsi="Courier New"/>
          <w:sz w:val="20"/>
        </w:rPr>
        <w:t>construction/v1</w:t>
      </w:r>
      <w:r>
        <w:rPr>
          <w:color w:val="373737"/>
          <w:sz w:val="20"/>
        </w:rPr>
        <w:t xml:space="preserve">; the GraphQL names stay </w:t>
      </w:r>
      <w:r>
        <w:rPr>
          <w:rFonts w:ascii="Courier New" w:hAnsi="Courier New"/>
          <w:sz w:val="20"/>
        </w:rPr>
        <w:t>productDetails</w:t>
      </w:r>
      <w:r>
        <w:rPr>
          <w:color w:val="373737"/>
          <w:sz w:val="20"/>
        </w:rPr>
        <w:t>.)</w:t>
      </w:r>
    </w:p>
    <w:p>
      <w:pPr>
        <w:spacing w:after="80"/>
      </w:pPr>
      <w:r>
        <w:rPr>
          <w:color w:val="373737"/>
          <w:sz w:val="20"/>
        </w:rPr>
        <w:t xml:space="preserve">The one genuinely harder piece is </w:t>
      </w:r>
      <w:r>
        <w:rPr>
          <w:b/>
          <w:color w:val="373737"/>
          <w:sz w:val="20"/>
        </w:rPr>
        <w:t>`updateProductDetailsSet`</w:t>
      </w:r>
      <w:r>
        <w:rPr>
          <w:color w:val="373737"/>
          <w:sz w:val="20"/>
        </w:rPr>
        <w:t>, a multi-step write — workspace associations, then bulk-archive removed attachments, then the body — with no rollback today.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per-resource capability tokens via ACL. Per </w:t>
      </w:r>
      <w:r>
        <w:rPr>
          <w:b/>
          <w:color w:val="373737"/>
          <w:sz w:val="20"/>
        </w:rPr>
        <w:t>ADR-019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complexStories/acl/01-adr-acl-mid-request-update.md</w:t>
      </w:r>
      <w:r>
        <w:rPr>
          <w:color w:val="373737"/>
          <w:sz w:val="20"/>
        </w:rPr>
        <w:t xml:space="preserve">), permission-check and own-domain-token call sites stay resolver-local (context-only, unchanged); downstream-token call sites (e.g. the attachment-archive step in </w:t>
      </w:r>
      <w:r>
        <w:rPr>
          <w:rFonts w:ascii="Courier New" w:hAnsi="Courier New"/>
          <w:sz w:val="20"/>
        </w:rPr>
        <w:t>updateProductDetailsSet</w:t>
      </w:r>
      <w:r>
        <w:rPr>
          <w:color w:val="373737"/>
          <w:sz w:val="20"/>
        </w:rPr>
        <w:t xml:space="preserve">) use </w:t>
      </w:r>
      <w:r>
        <w:rPr>
          <w:b/>
          <w:color w:val="373737"/>
          <w:sz w:val="20"/>
        </w:rPr>
        <w:t>Mid-Request ACL Update</w:t>
      </w:r>
      <w:r>
        <w:rPr>
          <w:color w:val="373737"/>
          <w:sz w:val="20"/>
        </w:rPr>
        <w:t xml:space="preserve"> before the downstream call.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one by-ids (internal), one elastic (🔴 search)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5 simple + </w:t>
            </w:r>
            <w:r>
              <w:rPr>
                <w:rFonts w:ascii="Courier New" w:hAnsi="Courier New"/>
                <w:sz w:val="18"/>
              </w:rPr>
              <w:t>updateProductDetailsSet</w:t>
            </w:r>
            <w:r>
              <w:rPr>
                <w:color w:val="373737"/>
                <w:sz w:val="18"/>
              </w:rPr>
              <w:t xml:space="preserve"> (multi-step)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ProductDetails</w:t>
            </w:r>
            <w:r>
              <w:rPr>
                <w:color w:val="373737"/>
                <w:sz w:val="18"/>
              </w:rPr>
              <w:t xml:space="preserve"> (10), item (2), category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 keys (2 🔴 · 2 🟡 · 2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search/attachment 🔴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(Product)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internal</w:t>
            </w:r>
            <w:r>
              <w:rPr>
                <w:color w:val="373737"/>
                <w:sz w:val="18"/>
              </w:rPr>
              <w:t xml:space="preserve"> (co-located)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12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 (G-04 test coverage tracked outside Jira pipeline)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PDTL-BE-E-01 — updateProductDetailsSet (multi-step write)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 buffer)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8–17d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Operations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&amp; Stitching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7–14d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24–48d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Computed live from </w:t>
      </w:r>
      <w:r>
        <w:rPr>
          <w:rFonts w:ascii="Courier New" w:hAnsi="Courier New"/>
          <w:sz w:val="18"/>
        </w:rPr>
        <w:t>be-04-stories.md</w:t>
      </w:r>
      <w:r>
        <w:rPr>
          <w:color w:val="444444"/>
          <w:sz w:val="18"/>
        </w:rPr>
        <w:t xml:space="preserve"> (phase + complexity per story) — always reconciles with the story tables below and the program overview. Effort = sum of per-story nominal day-ranges (Low 1–2 · Medium 2–4 · High 4–7 · Very High 7–12) × 1.2 buffer, AI-estimated — confirm in refinement. See each story's </w:t>
      </w:r>
      <w:r>
        <w:rPr>
          <w:b/>
          <w:color w:val="444444"/>
          <w:sz w:val="18"/>
        </w:rPr>
        <w:t>Depends On</w:t>
      </w:r>
      <w:r>
        <w:rPr>
          <w:color w:val="444444"/>
          <w:sz w:val="18"/>
        </w:rPr>
        <w:t xml:space="preserve"> column for real sequencing.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~6–11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~4–6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 after B-01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D-01–D-05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 + F-01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multi-step write + Product field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G-01–G-03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resolvers. Test coverage/parity tracked outside this Jira pipeline, created manually.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🔍 Search &amp; Listing · ✏️ Mutations · ⚙️ Complex Operations · 🔗 Federation &amp; Stitching · 🧪 Field Resolvers &amp; Tests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— 2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Backend Engineer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1 backend engineer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(4–7d) 🔬 ⛔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F-01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~31 working days.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(1 story)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getProductDetailsById(ids)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product-detail (construction) sets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ids → GET construction/v1?ids={csv}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list for ids; empty → []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PDTL-BE-B-01: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productDetails.graphqls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[be-03-schema.graphql](./be-03-schema.graphql).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(1 story)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getProductDetailsElastic(resourceId)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a product's product-detail sets via elastic.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search.getProductDetailsElastic → paged. - EXT: search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parentId:</w:t>
            </w:r>
            <w:r>
              <w:rPr>
                <w:color w:val="373737"/>
                <w:sz w:val="17"/>
              </w:rPr>
              <w:t xml:space="preserve"> elastic query built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paged shape returned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createProductDetailsSet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product-detail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literal capability → POST construction/v1 (snake_case). If response has validationErrors or message → throw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validation error → exception (not a partial object)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updateProductDetailAccess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Change who can access a product-detail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map managePermissionsRequest[].resourceId → token → PUT construction/v1/manage-permissions (primeKey=humanId)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partner access for each resource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productDetailLockUnlock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 or unlock a product-detail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[constructionSetId] → PUT construction/v1/{id}/{lock\|unlock}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isLock=true</w:t>
            </w:r>
            <w:r>
              <w:rPr>
                <w:color w:val="373737"/>
                <w:sz w:val="17"/>
              </w:rPr>
              <w:t>→lock path, false→unlock path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cloneFilesForProductDetails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Copy attachment files for product details.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Promise.all(attachmentIds.map((id,i) =&gt; (attachment) cloneAttachmentV3({cloneReferences:[cloneReference[i]]}, id))), stamp parentResource=id, flatten. No…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clones each id with its paired cloneReference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parentResource</w:t>
            </w:r>
            <w:r>
              <w:rPr>
                <w:color w:val="373737"/>
                <w:sz w:val="17"/>
              </w:rPr>
              <w:t xml:space="preserve"> stamped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updateProductDetailComponentStatus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component status on product-detail sets.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construction/v1/component_status_update; wraps result as {content}. No JWT — confirm backend-enforced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updates statuses; result wrapped as </w:t>
            </w:r>
            <w:r>
              <w:rPr>
                <w:rFonts w:ascii="Courier New" w:hAnsi="Courier New"/>
                <w:sz w:val="17"/>
              </w:rPr>
              <w:t>{content}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no-token behaviour documented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PDTL-BE-E-01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updateProductDetailsSet</w:t>
            </w:r>
            <w:r>
              <w:rPr>
                <w:color w:val="373737"/>
                <w:sz w:val="17"/>
              </w:rPr>
              <w:t xml:space="preserve"> (multi-step write)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product-detail set — a multi-step write (workspace + body) with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if workspaceContext.{add,remove}Workspaces non-empty → workspaceAssociationHelper(PRODUCT_DETAIL, id, add, remove) (throws on error); 2) null workspaceContext; 3) if…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4 steps in order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partial-failure strategy implemented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 assoc throws propagate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full path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workspace-only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attachment-archive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(1 story)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PDTL-BE-F-01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Product.productDetails</w:t>
            </w:r>
            <w:r>
              <w:rPr>
                <w:color w:val="373737"/>
                <w:sz w:val="17"/>
              </w:rPr>
              <w:t xml:space="preserve"> (internal, same subgraph)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product-details on the Product type (same subgraph).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exposes productDetails resolved from the co-located ProductDetails service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Product.productDetails</w:t>
            </w:r>
            <w:r>
              <w:rPr>
                <w:color w:val="373737"/>
                <w:sz w:val="17"/>
              </w:rPr>
              <w:t xml:space="preserve"> resolves in-process; no gateway hop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Field resolver uses a </w:t>
            </w:r>
            <w:r>
              <w:rPr>
                <w:rFonts w:ascii="Courier New" w:hAnsi="Courier New"/>
                <w:sz w:val="17"/>
              </w:rPr>
              <w:t>MappedBatchLoader&lt;String, List&lt;SPARK_ProductDetails&gt;&gt;</w:t>
            </w:r>
            <w:r>
              <w:rPr>
                <w:color w:val="373737"/>
                <w:sz w:val="17"/>
              </w:rPr>
              <w:t xml:space="preserve"> (</w:t>
            </w:r>
            <w:r>
              <w:rPr>
                <w:rFonts w:ascii="Courier New" w:hAnsi="Courier New"/>
                <w:sz w:val="17"/>
              </w:rPr>
              <w:t>productDetailsByProductIdLoader</w:t>
            </w:r>
            <w:r>
              <w:rPr>
                <w:color w:val="373737"/>
                <w:sz w:val="17"/>
              </w:rPr>
              <w:t>) — when the parent query returns N products, product details are resolved in 1 batched call (not N)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(3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access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currentUserPermissions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participantDetails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userGroup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access / permission / participant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access → accessControl.getPermissions([humanId\|\|id])[0]; currentUserPermissions → getUserAccessUnencoded(humanId\|\|id)[0]; participantDetails → getUserGroup(humanId)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resolves; null-safe on empty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businessPartners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workspaces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userAttributes, workspaceV2, vmm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product, people, partner and workspace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(internal, only if parentId starts 'PID'), createdBy/updatedBy (user-profile), businessPartners (vmm loadBpsWithType), workspaces (workspaceV2 by ids)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resolves;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</w:t>
            </w:r>
            <w:r>
              <w:rPr>
                <w:rFonts w:ascii="Courier New" w:hAnsi="Courier New"/>
                <w:sz w:val="17"/>
              </w:rPr>
              <w:t>parentId</w:t>
            </w:r>
            <w:r>
              <w:rPr>
                <w:color w:val="373737"/>
                <w:sz w:val="17"/>
              </w:rPr>
              <w:t xml:space="preserve"> not </w:t>
            </w:r>
            <w:r>
              <w:rPr>
                <w:rFonts w:ascii="Courier New" w:hAnsi="Courier New"/>
                <w:sz w:val="17"/>
              </w:rPr>
              <w:t>PID*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null id → null user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attachment</w:t>
            </w:r>
            <w:r>
              <w:rPr>
                <w:color w:val="373737"/>
                <w:sz w:val="17"/>
              </w:rPr>
              <w:t xml:space="preserve"> + item </w:t>
            </w:r>
            <w:r>
              <w:rPr>
                <w:rFonts w:ascii="Courier New" w:hAnsi="Courier New"/>
                <w:sz w:val="17"/>
              </w:rPr>
              <w:t>attachment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constructionSetAttachments</w:t>
            </w:r>
            <w:r>
              <w:rPr>
                <w:color w:val="373737"/>
                <w:sz w:val="17"/>
              </w:rPr>
              <w:t xml:space="preserve"> + category </w:t>
            </w:r>
            <w:r>
              <w:rPr>
                <w:rFonts w:ascii="Courier New" w:hAnsi="Courier New"/>
                <w:sz w:val="17"/>
              </w:rPr>
              <w:t>subCategories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attachment and category fields on product details.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ProductDetails.attachment → (search) searchAttachments([humanId\|\|id]), find - relatedResources.length&lt;=2; ProductDetailsItem.attachment →…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 to the right source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attachment</w:t>
            </w:r>
            <w:r>
              <w:rPr>
                <w:color w:val="373737"/>
                <w:sz w:val="17"/>
              </w:rPr>
              <w:t xml:space="preserve"> length-≤2 filter preserved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40"/>
        </w:rPr>
        <w:t>Frontend</w:t>
      </w:r>
    </w:p>
    <w:p>
      <w:pPr>
        <w:spacing w:after="60"/>
      </w:pPr>
      <w:r>
        <w:rPr>
          <w:color w:val="373737"/>
          <w:sz w:val="19"/>
        </w:rPr>
        <w:t># Federated GraphQL Breakdown — Product Details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0 High · 🟡 2 Medium · 🟢 1 Low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8–12 days (single-engineer)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 operation-to-root-field rows · 2 client files · 4 components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2026-07-21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Product Details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product-details reads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PDTL-BE-G-02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PDTL-BE-G-03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getProductDetailsById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getProductDetailComponentStatus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product-details simple mutations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3–4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PDTL-BE-D-05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createProductDetailsSet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productDetailLockUnlock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cloneFilesForProductDetails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updateProductDetailComponentStatus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updateProductDetailsSet</w:t>
            </w:r>
            <w:r>
              <w:rPr>
                <w:color w:val="373737"/>
                <w:sz w:val="18"/>
              </w:rPr>
              <w:t xml:space="preserve"> saga handling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PDTL-BE-E-01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updateProductDetailsSet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PDTL-FE-002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PDTL-BE-D-01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PDTL-BE-D-05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PDTL-FE-001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PDTL-FE-003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PDTL-BE-B-01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PDTL-BE-G-02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PDTL-BE-G-03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PDTL-FE-003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PDTL-BE-E-01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PDTL-FE-002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PDTL-FE-001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PDTL-FE-003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Frontend Engineer</w:t>
      </w:r>
    </w:p>
    <w:p>
      <w:pPr>
        <w:spacing w:after="40"/>
      </w:pPr>
      <w:r>
        <w:rPr>
          <w:color w:val="444444"/>
          <w:sz w:val="18"/>
        </w:rPr>
        <w:t xml:space="preserve">The staged order map above, run by </w:t>
      </w:r>
      <w:r>
        <w:rPr>
          <w:b/>
          <w:color w:val="444444"/>
          <w:sz w:val="18"/>
        </w:rPr>
        <w:t>one frontend engineer</w:t>
      </w:r>
      <w:r>
        <w:rPr>
          <w:color w:val="444444"/>
          <w:sz w:val="18"/>
        </w:rPr>
        <w:t xml:space="preserve">. Steps re-sync at each stage because the stage's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PDTL-FE-002</w:t>
            </w:r>
            <w:r>
              <w:rPr>
                <w:color w:val="373737"/>
                <w:sz w:val="18"/>
              </w:rPr>
              <w:t xml:space="preserve"> (3–4d)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PDTL-FE-003</w:t>
            </w:r>
            <w:r>
              <w:rPr>
                <w:color w:val="373737"/>
                <w:sz w:val="18"/>
              </w:rPr>
              <w:t xml:space="preserve"> (3–5d)&lt;br&gt;🟢 </w:t>
            </w:r>
            <w:r>
              <w:rPr>
                <w:rFonts w:ascii="Courier New" w:hAnsi="Courier New"/>
                <w:sz w:val="18"/>
              </w:rPr>
              <w:t>PDTL-FE-001</w:t>
            </w:r>
            <w:r>
              <w:rPr>
                <w:color w:val="373737"/>
                <w:sz w:val="18"/>
              </w:rPr>
              <w:t xml:space="preserve"> (2–3d)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~10 FE build days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FederatedGqlBreakDown-productDetails.md — the combined Backend + Frontend breakdown this section lives in.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