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Watchlist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5  🟢 7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2026-07-19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40"/>
        </w:rPr>
        <w:t>Backend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Watchlist</w:t>
      </w:r>
      <w:r>
        <w:rPr>
          <w:color w:val="373737"/>
          <w:sz w:val="20"/>
        </w:rPr>
        <w:t xml:space="preserve"> domain — quality watchlist entries on a product (reasons, statuses, inspections, partners, attachments)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small and mid-low risk</w:t>
      </w:r>
      <w:r>
        <w:rPr>
          <w:color w:val="373737"/>
          <w:sz w:val="20"/>
        </w:rPr>
        <w:t xml:space="preserve">: 4 queries, 3 mutations, 13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It is </w:t>
      </w:r>
      <w:r>
        <w:rPr>
          <w:b/>
          <w:color w:val="373737"/>
          <w:sz w:val="20"/>
        </w:rPr>
        <w:t>co-located</w:t>
      </w:r>
      <w:r>
        <w:rPr>
          <w:color w:val="373737"/>
          <w:sz w:val="20"/>
        </w:rPr>
        <w:t xml:space="preserve"> in the product family, so </w:t>
      </w:r>
      <w:r>
        <w:rPr>
          <w:rFonts w:ascii="Courier New" w:hAnsi="Courier New"/>
          <w:sz w:val="20"/>
        </w:rPr>
        <w:t>Product.watchlists</w:t>
      </w:r>
      <w:r>
        <w:rPr>
          <w:color w:val="373737"/>
          <w:sz w:val="20"/>
        </w:rPr>
        <w:t xml:space="preserve"> and the TechPack </w:t>
      </w:r>
      <w:r>
        <w:rPr>
          <w:rFonts w:ascii="Courier New" w:hAnsi="Courier New"/>
          <w:sz w:val="20"/>
        </w:rPr>
        <w:t>ResourcesCount.watchlists</w:t>
      </w:r>
      <w:r>
        <w:rPr>
          <w:color w:val="373737"/>
          <w:sz w:val="20"/>
        </w:rPr>
        <w:t xml:space="preserve"> count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(not across the federation gateway).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`updateWatchlistEntries`</w:t>
      </w:r>
      <w:r>
        <w:rPr>
          <w:color w:val="373737"/>
          <w:sz w:val="20"/>
        </w:rPr>
        <w:t xml:space="preserve">, a multi-step write (user-group upsert, then the body, then attachment archival) that today </w:t>
      </w:r>
      <w:r>
        <w:rPr>
          <w:b/>
          <w:color w:val="373737"/>
          <w:sz w:val="20"/>
        </w:rPr>
        <w:t>does not await</w:t>
      </w:r>
      <w:r>
        <w:rPr>
          <w:color w:val="373737"/>
          <w:sz w:val="20"/>
        </w:rPr>
        <w:t xml:space="preserve"> its per-entry user-group updates — a race to fix on the port.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ACL. Per </w:t>
      </w:r>
      <w:r>
        <w:rPr>
          <w:b/>
          <w:color w:val="373737"/>
          <w:sz w:val="20"/>
        </w:rPr>
        <w:t>ADR-019</w:t>
      </w:r>
      <w:r>
        <w:rPr>
          <w:color w:val="373737"/>
          <w:sz w:val="20"/>
        </w:rPr>
        <w:t xml:space="preserve"> (</w:t>
      </w:r>
      <w:r>
        <w:rPr>
          <w:rFonts w:ascii="Courier New" w:hAnsi="Courier New"/>
          <w:sz w:val="20"/>
        </w:rPr>
        <w:t>complexStories/acl/01-adr-acl-mid-request-update.md</w:t>
      </w:r>
      <w:r>
        <w:rPr>
          <w:color w:val="373737"/>
          <w:sz w:val="20"/>
        </w:rPr>
        <w:t xml:space="preserve">), permission-check and own-domain-token call sites stay resolver-local (context-only, unchanged); downstream-token call sites (e.g. the attachment-archive step in </w:t>
      </w:r>
      <w:r>
        <w:rPr>
          <w:rFonts w:ascii="Courier New" w:hAnsi="Courier New"/>
          <w:sz w:val="20"/>
        </w:rPr>
        <w:t>updateWatchlistEntries</w:t>
      </w:r>
      <w:r>
        <w:rPr>
          <w:color w:val="373737"/>
          <w:sz w:val="20"/>
        </w:rPr>
        <w:t xml:space="preserve">) use </w:t>
      </w:r>
      <w:r>
        <w:rPr>
          <w:b/>
          <w:color w:val="373737"/>
          <w:sz w:val="20"/>
        </w:rPr>
        <w:t>Mid-Request ACL Update</w:t>
      </w:r>
      <w:r>
        <w:rPr>
          <w:color w:val="373737"/>
          <w:sz w:val="20"/>
        </w:rPr>
        <w:t xml:space="preserve"> before the downstream call.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four-step filtered read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2 simple +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</w:t>
            </w:r>
            <w:r>
              <w:rPr>
                <w:color w:val="373737"/>
                <w:sz w:val="18"/>
              </w:rPr>
              <w:t xml:space="preserve"> (10), inspection (2), partner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ResourcesCount)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WATCHLIST-BE-E-01 — updateWatchlistEntries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 buffer)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5–10d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Operations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5–8d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&amp; Stitching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2–5d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7–14d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25–49d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Computed live from </w:t>
      </w:r>
      <w:r>
        <w:rPr>
          <w:rFonts w:ascii="Courier New" w:hAnsi="Courier New"/>
          <w:sz w:val="18"/>
        </w:rPr>
        <w:t>be-04-stories.md</w:t>
      </w:r>
      <w:r>
        <w:rPr>
          <w:color w:val="444444"/>
          <w:sz w:val="18"/>
        </w:rPr>
        <w:t xml:space="preserve"> (phase + complexity per story) — always reconciles with the story tables below and the program overview. Effort = sum of per-story nominal day-ranges (Low 1–2 · Medium 2–4 · High 4–7 · Very High 7–12) × 1.2 buffer, AI-estimated — confirm in refinement. See each story's </w:t>
      </w:r>
      <w:r>
        <w:rPr>
          <w:b/>
          <w:color w:val="444444"/>
          <w:sz w:val="18"/>
        </w:rPr>
        <w:t>Depends On</w:t>
      </w:r>
      <w:r>
        <w:rPr>
          <w:color w:val="444444"/>
          <w:sz w:val="18"/>
        </w:rPr>
        <w:t xml:space="preserve"> column for real sequencing.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 + D-01/D-02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filtered read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F-01/F-02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Product/TechPack internal contributions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G-01–G-03, G-05 (recommended, PO-gated)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resolvers. Test coverage/parity tracked outside this Jira pipeline, created manually.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Derived from each story's </w:t>
      </w:r>
      <w:r>
        <w:rPr>
          <w:rFonts w:ascii="Courier New" w:hAnsi="Courier New"/>
          <w:sz w:val="18"/>
        </w:rPr>
        <w:t>Depends On</w:t>
      </w:r>
      <w:r>
        <w:rPr>
          <w:color w:val="444444"/>
          <w:sz w:val="18"/>
        </w:rPr>
        <w:t xml:space="preserve"> edges (plus the module-init scaffold as the implicit first step). A story appears in the earliest step where everything it depends on is already done; </w:t>
      </w:r>
      <w:r>
        <w:rPr>
          <w:b/>
          <w:color w:val="444444"/>
          <w:sz w:val="18"/>
        </w:rPr>
        <w:t>stories in the same step are independent of each other and parallelize across engineers</w:t>
      </w:r>
      <w:r>
        <w:rPr>
          <w:color w:val="444444"/>
          <w:sz w:val="18"/>
        </w:rPr>
        <w:t xml:space="preserve">. </w:t>
      </w:r>
      <w:r>
        <w:rPr>
          <w:b/>
          <w:color w:val="444444"/>
          <w:sz w:val="18"/>
        </w:rPr>
        <w:t>Focus</w:t>
      </w:r>
      <w:r>
        <w:rPr>
          <w:color w:val="444444"/>
          <w:sz w:val="18"/>
        </w:rPr>
        <w:t xml:space="preserve"> names the phase category each step advances — same convention as the frontend order map.</w:t>
      </w:r>
    </w:p>
    <w:p>
      <w:pPr>
        <w:spacing w:after="40"/>
      </w:pPr>
      <w:r>
        <w:rPr>
          <w:color w:val="444444"/>
          <w:sz w:val="18"/>
        </w:rPr>
        <w:t xml:space="preserve">🔬 spike gates and ⛔ cross-subgraph blocks are </w:t>
      </w:r>
      <w:r>
        <w:rPr>
          <w:i/>
          <w:color w:val="444444"/>
          <w:sz w:val="18"/>
        </w:rPr>
        <w:t>entry criteria</w:t>
      </w:r>
      <w:r>
        <w:rPr>
          <w:color w:val="444444"/>
          <w:sz w:val="18"/>
        </w:rPr>
        <w:t>, not ordering edges — a gated story slides later without reshuffling the map.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Entry gates in this 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🧱 Module init — schema skeleton, service wiring (unblocks everything)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, 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, 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G-03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→ 🔬 SPIKE-01 · ⛔ BLOCKED-BY product (PRODUCT-BE-E-00, the shared WriteSaga module)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Fan-out — 📖 Core Reads · 🔍 Search &amp; Listing · ✏️ Mutations · ⚙️ Complex Operations · 🔗 Federation &amp; Stitching · 🧪 Field Resolvers &amp; Tests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🧪 Field Resolvers &amp; Tests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Critical path: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  <w:r>
        <w:rPr>
          <w:color w:val="373737"/>
          <w:sz w:val="19"/>
        </w:rPr>
        <w:t xml:space="preserve"> — 3 sequential stories; everything else hangs off this chain in parallel.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Backend Engineer</w:t>
      </w:r>
    </w:p>
    <w:p>
      <w:pPr>
        <w:spacing w:after="40"/>
      </w:pPr>
      <w:r>
        <w:rPr>
          <w:color w:val="444444"/>
          <w:sz w:val="18"/>
        </w:rPr>
        <w:t xml:space="preserve">The order map above assumes unlimited parallelism; this packs the </w:t>
      </w:r>
      <w:r>
        <w:rPr>
          <w:b/>
          <w:color w:val="444444"/>
          <w:sz w:val="18"/>
        </w:rPr>
        <w:t>same dependency graph onto 1 backend engineer</w:t>
      </w:r>
      <w:r>
        <w:rPr>
          <w:color w:val="444444"/>
          <w:sz w:val="18"/>
        </w:rPr>
        <w:t xml:space="preserve"> (greedy critical-chain scheduling, nominal day-ranges from complexity — confirm in refinement). Read each column top-to-bottom as one engineer's queue; ⏳ marks a slot that waits on a dependency, 🔬/⛔ are entry gates that slide a slot without reshuffling the lanes.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Slot</w:t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BE-1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🟠 </w:t>
            </w:r>
            <w:r>
              <w:rPr>
                <w:rFonts w:ascii="Courier New" w:hAnsi="Courier New"/>
                <w:sz w:val="18"/>
              </w:rPr>
              <w:t>E-01</w:t>
            </w:r>
            <w:r>
              <w:rPr>
                <w:color w:val="373737"/>
                <w:sz w:val="18"/>
              </w:rPr>
              <w:t xml:space="preserve"> (4–7d) 🔬 ⛔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C-01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D-01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6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D-02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G-03</w:t>
            </w:r>
            <w:r>
              <w:rPr>
                <w:color w:val="373737"/>
                <w:sz w:val="18"/>
              </w:rPr>
              <w:t xml:space="preserve"> (2–4d)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8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9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B-03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10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11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F-02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12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G-01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13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G-05</w:t>
            </w:r>
            <w:r>
              <w:rPr>
                <w:color w:val="373737"/>
                <w:sz w:val="18"/>
              </w:rPr>
              <w:t xml:space="preserve"> (1–2d)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BE-1: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B-01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E-01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C-01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D-02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B-03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F-02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G-05</w:t>
      </w:r>
    </w:p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~31 working days.</w:t>
      </w:r>
    </w:p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getWatchlistByIds(ids)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watchlist entries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watchlist/v1?watchlistIds={csv}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entries for ids; empty → 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getWatchlistReasons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watchlist-reason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watchlist/v1/watchlist_reasons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reasons;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getWatchlistInspectionActions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inspection-action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watchlist/v1/watchlist_inspection_action_types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actions; 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WATCHLIST-BE-B-01: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watchlist.graphqls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[be-03-schema.graphql](./be-03-schema.graphql).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getWatchlistByFilter(...)</w:t>
            </w:r>
            <w:r>
              <w:rPr>
                <w:color w:val="373737"/>
                <w:sz w:val="17"/>
              </w:rPr>
              <w:t xml:space="preserve"> (4-step read)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product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watchlist entries for a workspace's products (a 4-step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(internal) product.getWorkspaceProducts({q,filter,workspaceId,page,size}) → product humanIds → (search) searchWatchlist({ q:"parentId:(... OR ...) AND…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product→search→watchlist chain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elastic query string exact (incl. </w:t>
            </w:r>
            <w:r>
              <w:rPr>
                <w:rFonts w:ascii="Courier New" w:hAnsi="Courier New"/>
                <w:sz w:val="17"/>
              </w:rPr>
              <w:t>statusId: 501</w:t>
            </w:r>
            <w:r>
              <w:rPr>
                <w:color w:val="373737"/>
                <w:sz w:val="17"/>
              </w:rPr>
              <w:t>)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createWatchlistEntries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watchlist entries (and their user-groups).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Promise.all(entries.map(w =&gt; { createWatchlistEntries([w]); throw on validationErrors/message; then (user-group) addUserGroup({resourceId:humanId, participantDetails…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each entry + its user group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either failure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cloneFilesForWatchlist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watchlist entries.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its paired cloneReference;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story)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WATCHLIST-BE-E-01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updateWatchlistEntries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watchlist entries — a multi-step write (user-groups + body); today the group step isn't awaited (a bug).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per-entry (currently NOT awaited — bug): getUserGroups([humanId]); if existing participants → updateUserGroup, else (user-group) addUserGroup (throw on error); 2)…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user-group upserts complete before the watchlist update (race fixed)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 attachments archived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existing-participants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new-participants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 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ordering/await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Product.watchlists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watchlists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watchlists resolved from the co-located watchlist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 — TechPack)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watchlists count to the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fill the TechPack `ResourcesCount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resolves in-process; parity vs the TechPack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Computed flatteners (status/reasons/inspection action)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Flatten status / reason / inspection-action codes into readable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statusId=status.code, statusName=status.description, reasonIds=reasons[].code, reasons=reasons[].description; WatchlistInspection.actionId=action.code…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flattener maps correctly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partnerName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userGroup,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people, workspace and partner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watchlist entry's attachments and parent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attachments via elastic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WATCHLIST-BE-G-05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WatchlistPartner.partner</w:t>
            </w:r>
            <w:r>
              <w:rPr>
                <w:color w:val="373737"/>
                <w:sz w:val="17"/>
              </w:rPr>
              <w:t xml:space="preserve"> entity reference (recommended, PO-gated)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G-02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 xml:space="preserve">Adds </w:t>
            </w:r>
            <w:r>
              <w:rPr>
                <w:rFonts w:ascii="Courier New" w:hAnsi="Courier New"/>
                <w:sz w:val="17"/>
              </w:rPr>
              <w:t>partner { … }</w:t>
            </w:r>
            <w:r>
              <w:rPr>
                <w:color w:val="373737"/>
                <w:sz w:val="17"/>
              </w:rPr>
              <w:t xml:space="preserve"> next to </w:t>
            </w:r>
            <w:r>
              <w:rPr>
                <w:rFonts w:ascii="Courier New" w:hAnsi="Courier New"/>
                <w:sz w:val="17"/>
              </w:rPr>
              <w:t>partnerId</w:t>
            </w:r>
            <w:r>
              <w:rPr>
                <w:color w:val="373737"/>
                <w:sz w:val="17"/>
              </w:rPr>
              <w:t>/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on watchlist partner rows.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schema adds partner: VMM_BusinessPartner on WatchlistPartner; resolver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PO approval recorded (OQ-5) before implementation starts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partner { id name }</w:t>
            </w:r>
            <w:r>
              <w:rPr>
                <w:color w:val="373737"/>
                <w:sz w:val="17"/>
              </w:rPr>
              <w:t xml:space="preserve"> resolves via the gateway; </w:t>
            </w:r>
            <w:r>
              <w:rPr>
                <w:rFonts w:ascii="Courier New" w:hAnsi="Courier New"/>
                <w:sz w:val="17"/>
              </w:rPr>
              <w:t>partnerName</w:t>
            </w:r>
            <w:r>
              <w:rPr>
                <w:color w:val="373737"/>
                <w:sz w:val="17"/>
              </w:rPr>
              <w:t xml:space="preserve"> parity is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No additional VMM calls from the watchlist subgraph (stub emission only)</w:t>
            </w:r>
          </w:p>
        </w:tc>
      </w:tr>
    </w:tbl>
    <w:p/>
    <w:p>
      <w:r>
        <w:br w:type="page"/>
      </w:r>
    </w:p>
    <w:p>
      <w:pPr>
        <w:spacing w:before="240" w:after="80"/>
      </w:pPr>
      <w:r>
        <w:rPr>
          <w:b/>
          <w:color w:val="1F497D"/>
          <w:sz w:val="40"/>
        </w:rPr>
        <w:t>Frontend</w:t>
      </w:r>
    </w:p>
    <w:p>
      <w:pPr>
        <w:spacing w:after="60"/>
      </w:pPr>
      <w:r>
        <w:rPr>
          <w:color w:val="373737"/>
          <w:sz w:val="19"/>
        </w:rPr>
        <w:t># Federated GraphQL Breakdown — Watchlist · Frontend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28"/>
        <w:gridCol w:w="5128"/>
      </w:tblGrid>
      <w:tr>
        <w:trPr>
          <w:trHeight w:val="360" w:hRule="atLeast"/>
        </w:trPr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  <w:tc>
          <w:tcPr>
            <w:tcW w:type="dxa" w:w="5128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Client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pdex-ui-react</w:t>
            </w:r>
            <w:r>
              <w:rPr>
                <w:color w:val="373737"/>
                <w:sz w:val="18"/>
              </w:rPr>
              <w:t xml:space="preserve"> (Apollo Client)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Backend subgraph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plm-product (co-located)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FE Stories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Impact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🔴 0 High · 🟡 1 Medium · 🟢 2 Low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Estimated effort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7–10 days (single-engineer)</w:t>
            </w:r>
          </w:p>
        </w:tc>
      </w:tr>
      <w:tr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Phase-1 surface</w:t>
            </w:r>
          </w:p>
        </w:tc>
        <w:tc>
          <w:tcPr>
            <w:tcW w:type="dxa" w:w="5128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5 operation-to-root-field rows · 1 client files · 4 components</w:t>
            </w:r>
          </w:p>
        </w:tc>
      </w:tr>
      <w:tr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Generated</w:t>
            </w:r>
          </w:p>
        </w:tc>
        <w:tc>
          <w:tcPr>
            <w:tcW w:type="dxa" w:w="5128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2026-07-19</w:t>
            </w:r>
          </w:p>
        </w:tc>
      </w:tr>
    </w:tbl>
    <w:p/>
    <w:p>
      <w:pPr>
        <w:spacing w:after="40"/>
      </w:pPr>
      <w:r>
        <w:rPr>
          <w:color w:val="444444"/>
          <w:sz w:val="18"/>
        </w:rPr>
        <w:t xml:space="preserve">A frontend story is </w:t>
      </w:r>
      <w:r>
        <w:rPr>
          <w:b/>
          <w:color w:val="444444"/>
          <w:sz w:val="18"/>
        </w:rPr>
        <w:t>Done only after every backend story it depends on has been delivered</w:t>
      </w:r>
      <w:r>
        <w:rPr>
          <w:color w:val="444444"/>
          <w:sz w:val="18"/>
        </w:rPr>
        <w:t>. Full story text (objectives, required changes, AC, testing) lives in fe-08-frontend-stories.md — the hand-authored source of truth; this page is the per-domain planning view.</w:t>
      </w:r>
    </w:p>
    <w:p>
      <w:pPr>
        <w:spacing w:before="240" w:after="80"/>
      </w:pPr>
      <w:r>
        <w:rPr>
          <w:b/>
          <w:color w:val="1F497D"/>
          <w:sz w:val="28"/>
        </w:rPr>
        <w:t>What Are We Changing?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 xml:space="preserve">Point the </w:t>
      </w:r>
      <w:r>
        <w:rPr>
          <w:b/>
          <w:color w:val="373737"/>
          <w:sz w:val="18"/>
        </w:rPr>
        <w:t>Watchlist</w:t>
      </w:r>
      <w:r>
        <w:rPr>
          <w:color w:val="373737"/>
          <w:sz w:val="18"/>
        </w:rPr>
        <w:t xml:space="preserve"> GraphQL operations in </w:t>
      </w:r>
      <w:r>
        <w:rPr>
          <w:rFonts w:ascii="Courier New" w:hAnsi="Courier New"/>
          <w:sz w:val="18"/>
        </w:rPr>
        <w:t>pdex-ui-react</w:t>
      </w:r>
      <w:r>
        <w:rPr>
          <w:color w:val="373737"/>
          <w:sz w:val="18"/>
        </w:rPr>
        <w:t xml:space="preserve"> at the federated router (subgraph </w:t>
      </w:r>
      <w:r>
        <w:rPr>
          <w:rFonts w:ascii="Courier New" w:hAnsi="Courier New"/>
          <w:sz w:val="18"/>
        </w:rPr>
        <w:t>plm-product (co-located)</w:t>
      </w:r>
      <w:r>
        <w:rPr>
          <w:color w:val="373737"/>
          <w:sz w:val="18"/>
        </w:rPr>
        <w:t>) behind the platform feature flag, then remove legacy-gateway assumptions (typenames, cache keys, fragments).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Cutover is per-domain and reversible: dual-run first, flag flip after parity, legacy path kept until the exit criterion holds.</w:t>
      </w:r>
    </w:p>
    <w:p>
      <w:pPr>
        <w:spacing w:before="240" w:after="80"/>
      </w:pPr>
      <w:r>
        <w:rPr>
          <w:b/>
          <w:color w:val="1F497D"/>
          <w:sz w:val="28"/>
        </w:rPr>
        <w:t>Stories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465"/>
        <w:gridCol w:w="1465"/>
        <w:gridCol w:w="1465"/>
        <w:gridCol w:w="1465"/>
        <w:gridCol w:w="1465"/>
        <w:gridCol w:w="1465"/>
        <w:gridCol w:w="1465"/>
      </w:tblGrid>
      <w:tr>
        <w:trPr>
          <w:trHeight w:val="360" w:hRule="atLeast"/>
        </w:trPr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Title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Type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Impact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tcW w:type="dxa" w:w="1465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Operations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watchlist reads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Query migration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WATCHLIST-BE-G-02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WATCHLIST-BE-G-03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WATCHLIST-BE-G-05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getWatchlistByIds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getWatchlistByFilter</w:t>
            </w:r>
          </w:p>
        </w:tc>
      </w:tr>
      <w:tr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Migrate watchlist create and clone mutations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🟢 Low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2–3 days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WATCHLIST-BE-D-02</w:t>
            </w:r>
          </w:p>
        </w:tc>
        <w:tc>
          <w:tcPr>
            <w:tcW w:type="dxa" w:w="1465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createWatchlistEntries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cloneFilesForWatchlist</w:t>
            </w:r>
          </w:p>
        </w:tc>
      </w:tr>
      <w:tr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Migrate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saga handling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 migration (complex)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🟡 Medium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3–4 days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WATCHLIST-BE-E-01</w:t>
            </w:r>
          </w:p>
        </w:tc>
        <w:tc>
          <w:tcPr>
            <w:tcW w:type="dxa" w:w="1465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updateWatchlistEntries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Implementation Order</w:t>
      </w:r>
    </w:p>
    <w:p>
      <w:pPr>
        <w:spacing w:after="40"/>
      </w:pPr>
      <w:r>
        <w:rPr>
          <w:color w:val="444444"/>
          <w:sz w:val="18"/>
        </w:rPr>
        <w:t xml:space="preserve">Staged from each story's dependencies: the backend phase its BE stories sit in (reads → search → writes → sagas) plus in-domain FE→FE chains. </w:t>
      </w:r>
      <w:r>
        <w:rPr>
          <w:b/>
          <w:color w:val="444444"/>
          <w:sz w:val="18"/>
        </w:rPr>
        <w:t>Stories in the same step are independent of each other and parallelize.</w:t>
      </w:r>
      <w:r>
        <w:rPr>
          <w:color w:val="444444"/>
          <w:sz w:val="18"/>
        </w:rPr>
        <w:t xml:space="preserve"> ADR ratifications are entry gates, not ordering edges.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 (parallel set)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Waits for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WATCHLIST-BE-D-01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WATCHLIST-BE-D-02</w:t>
            </w:r>
          </w:p>
        </w:tc>
        <w:tc>
          <w:tcPr>
            <w:tcW w:type="dxa" w:w="2564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, 🟡 </w:t>
            </w:r>
            <w:r>
              <w:rPr>
                <w:rFonts w:ascii="Courier New" w:hAnsi="Courier New"/>
                <w:sz w:val="18"/>
              </w:rPr>
              <w:t>WATCHLIST-FE-003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WATCHLIST-BE-B-01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WATCHLIST-BE-C-01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WATCHLIST-BE-G-01</w:t>
            </w:r>
            <w:r>
              <w:rPr>
                <w:color w:val="373737"/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WATCHLIST-BE-G-02</w:t>
            </w:r>
            <w:r>
              <w:rPr>
                <w:color w:val="373737"/>
                <w:sz w:val="18"/>
              </w:rPr>
              <w:t xml:space="preserve"> (+2)&lt;br&gt;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→ </w:t>
            </w:r>
            <w:r>
              <w:rPr>
                <w:rFonts w:ascii="Courier New" w:hAnsi="Courier New"/>
                <w:sz w:val="18"/>
              </w:rPr>
              <w:t>WATCHLIST-BE-E-01</w:t>
            </w:r>
          </w:p>
        </w:tc>
        <w:tc>
          <w:tcPr>
            <w:tcW w:type="dxa" w:w="2564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Cutover flow:</w:t>
      </w:r>
      <w:r>
        <w:rPr>
          <w:color w:val="373737"/>
          <w:sz w:val="19"/>
        </w:rPr>
        <w:t xml:space="preserve"> </w:t>
      </w:r>
      <w:r>
        <w:rPr>
          <w:rFonts w:ascii="Courier New" w:hAnsi="Courier New"/>
          <w:sz w:val="19"/>
        </w:rPr>
        <w:t>WATCHLIST-FE-002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WATCHLIST-FE-001</w:t>
      </w:r>
      <w:r>
        <w:rPr>
          <w:color w:val="373737"/>
          <w:sz w:val="19"/>
        </w:rPr>
        <w:t xml:space="preserve"> → </w:t>
      </w:r>
      <w:r>
        <w:rPr>
          <w:rFonts w:ascii="Courier New" w:hAnsi="Courier New"/>
          <w:sz w:val="19"/>
        </w:rPr>
        <w:t>WATCHLIST-FE-003</w:t>
      </w:r>
      <w:r>
        <w:rPr>
          <w:color w:val="373737"/>
          <w:sz w:val="19"/>
        </w:rPr>
        <w:t>.</w:t>
      </w:r>
    </w:p>
    <w:p>
      <w:pPr>
        <w:spacing w:before="240" w:after="80"/>
      </w:pPr>
      <w:r>
        <w:rPr>
          <w:b/>
          <w:color w:val="1F497D"/>
          <w:sz w:val="28"/>
        </w:rPr>
        <w:t>Recommended Story Graph — 1 Frontend Engineer</w:t>
      </w:r>
    </w:p>
    <w:p>
      <w:pPr>
        <w:spacing w:after="40"/>
      </w:pPr>
      <w:r>
        <w:rPr>
          <w:color w:val="444444"/>
          <w:sz w:val="18"/>
        </w:rPr>
        <w:t xml:space="preserve">The staged order map above, run by </w:t>
      </w:r>
      <w:r>
        <w:rPr>
          <w:b/>
          <w:color w:val="444444"/>
          <w:sz w:val="18"/>
        </w:rPr>
        <w:t>one frontend engineer</w:t>
      </w:r>
      <w:r>
        <w:rPr>
          <w:color w:val="444444"/>
          <w:sz w:val="18"/>
        </w:rPr>
        <w:t xml:space="preserve">. Steps re-sync at each stage because the stage's </w:t>
      </w:r>
      <w:r>
        <w:rPr>
          <w:b/>
          <w:color w:val="444444"/>
          <w:sz w:val="18"/>
        </w:rPr>
        <w:t>backend gate</w:t>
      </w:r>
      <w:r>
        <w:rPr>
          <w:color w:val="444444"/>
          <w:sz w:val="18"/>
        </w:rPr>
        <w:t xml:space="preserve"> — not engineer availability — is the limiter.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Step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👤 FE-1</w:t>
            </w:r>
          </w:p>
        </w:tc>
        <w:tc>
          <w:tcPr>
            <w:tcW w:type="dxa" w:w="3419"/>
            <w:shd w:val="clear" w:color="auto" w:fill="DAE8FC"/>
            <w:vAlign w:val="top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Backend gate (focus)</w:t>
            </w:r>
          </w:p>
        </w:tc>
      </w:tr>
      <w:tr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🟢 </w:t>
            </w:r>
            <w:r>
              <w:rPr>
                <w:rFonts w:ascii="Courier New" w:hAnsi="Courier New"/>
                <w:sz w:val="18"/>
              </w:rPr>
              <w:t>WATCHLIST-FE-002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Writes — needs backend phase D mutations</w:t>
            </w:r>
          </w:p>
        </w:tc>
      </w:tr>
      <w:tr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🟡 </w:t>
            </w:r>
            <w:r>
              <w:rPr>
                <w:rFonts w:ascii="Courier New" w:hAnsi="Courier New"/>
                <w:sz w:val="18"/>
              </w:rPr>
              <w:t>WATCHLIST-FE-003</w:t>
            </w:r>
            <w:r>
              <w:rPr>
                <w:color w:val="373737"/>
                <w:sz w:val="18"/>
              </w:rPr>
              <w:t xml:space="preserve"> (3–4d)&lt;br&gt;🟢 </w:t>
            </w:r>
            <w:r>
              <w:rPr>
                <w:rFonts w:ascii="Courier New" w:hAnsi="Courier New"/>
                <w:sz w:val="18"/>
              </w:rPr>
              <w:t>WATCHLIST-FE-001</w:t>
            </w:r>
            <w:r>
              <w:rPr>
                <w:color w:val="373737"/>
                <w:sz w:val="18"/>
              </w:rPr>
              <w:t xml:space="preserve"> (2–3d)</w:t>
            </w:r>
          </w:p>
        </w:tc>
        <w:tc>
          <w:tcPr>
            <w:tcW w:type="dxa" w:w="3419"/>
            <w:shd w:val="clear" w:color="auto" w:fill="F5F8FF"/>
            <w:vAlign w:val="top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writes / sagas — needs backend phase E + ADR ratification</w:t>
            </w:r>
          </w:p>
        </w:tc>
      </w:tr>
    </w:tbl>
    <w:p/>
    <w:p>
      <w:pPr>
        <w:spacing w:after="60"/>
      </w:pPr>
      <w:r>
        <w:rPr>
          <w:b/>
          <w:color w:val="373737"/>
          <w:sz w:val="19"/>
        </w:rPr>
        <w:t>Elapsed (nominal midpoints):</w:t>
      </w:r>
      <w:r>
        <w:rPr>
          <w:color w:val="373737"/>
          <w:sz w:val="19"/>
        </w:rPr>
        <w:t xml:space="preserve"> ~8 FE build days — calendar time is set by the backend gates, not FE capacity.</w:t>
      </w:r>
    </w:p>
    <w:p>
      <w:pPr>
        <w:spacing w:before="240" w:after="80"/>
      </w:pPr>
      <w:r>
        <w:rPr>
          <w:b/>
          <w:color w:val="1F497D"/>
          <w:sz w:val="28"/>
        </w:rPr>
        <w:t>References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fe-08-frontend-stories.md — full story text (source of truth).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fe-09-story-dependency-matrix.md — FE ↔ BE dependency matrix.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fe-10-migration-sequencing.md — program-level waves and external gates.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fe-03-merged-inventory.md — every operation × backend root field for this domain.</w:t>
      </w:r>
    </w:p>
    <w:p>
      <w:pPr>
        <w:spacing w:after="20"/>
      </w:pPr>
      <w:r>
        <w:rPr>
          <w:color w:val="444444"/>
          <w:sz w:val="18"/>
        </w:rPr>
        <w:t xml:space="preserve">•  </w:t>
      </w:r>
      <w:r>
        <w:rPr>
          <w:color w:val="373737"/>
          <w:sz w:val="18"/>
        </w:rPr>
        <w:t>FederatedGqlBreakDown-watchlist.md — the combined Backend + Frontend breakdown this section lives in.</w:t>
      </w:r>
    </w:p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