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1 Backend + 1 Frontend Engineer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2026-07-19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 Team size and domain sequencing are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 — change them there and regenerate.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backend engineer</w:t>
      </w:r>
      <w:r>
        <w:rPr>
          <w:color w:val="373737"/>
          <w:sz w:val="18"/>
        </w:rPr>
        <w:t xml:space="preserve"> runs all 8 domains sequentially: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first (host DGS, shared wiring, largest surface — the foundation the rest build on), then the remaining domains in </w:t>
      </w:r>
      <w:r>
        <w:rPr>
          <w:rFonts w:ascii="Courier New" w:hAnsi="Courier New"/>
          <w:sz w:val="18"/>
        </w:rPr>
        <w:t>team_config.BE_QUEUE</w:t>
      </w:r>
      <w:r>
        <w:rPr>
          <w:color w:val="373737"/>
          <w:sz w:val="18"/>
        </w:rPr>
        <w:t xml:space="preserve"> order.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frontend engineer</w:t>
      </w:r>
      <w:r>
        <w:rPr>
          <w:color w:val="373737"/>
          <w:sz w:val="18"/>
        </w:rPr>
        <w:t xml:space="preserve"> follows the program waves (fe-10) sequentially: watchlist pilot first (1-sprint production soak is the wave-2 entry gate), then each domain cutover in turn.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200 (138–262)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d0–d200 (spr 1–20)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d108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d200–d231 (spr 21–24)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d231–d262 (spr 24–27)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 (38–75)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d262–d318 (spr 27–32)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 (37–72)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d318–d373 (spr 32–38)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91 (62–120)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d373–d464 (spr 38–47)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d420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 (34–66)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d464–d514 (spr 47–52)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d494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d514–d528 (spr 52–53)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d520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drains at d528</w:t>
      </w:r>
      <w:r>
        <w:rPr>
          <w:color w:val="373737"/>
          <w:sz w:val="18"/>
        </w:rPr>
        <w:t xml:space="preserve"> — post-launch F-phase stitches and G-phase parity leftovers land after the queue above.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(d219)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d219–d228 (spr 22–23)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(d252)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d252–d262 (spr 26–27)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(d304)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d304–d319 (spr 31–32)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(d356)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d356–d382 (spr 36–39)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(d420)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d420–d458 (spr 43–46)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(d494)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d494–d516 (spr 50–52)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(d108) + pilot soak (d238)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d516–d600 (spr 52–60)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(d520)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d600–d604 (spr 60–61)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frontend engineer is gate-bound, not capacity-bound — between gates they work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>).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d228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d516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Backend lane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d528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d604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d604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61 sprints (~30 months)</w:t>
      </w:r>
      <w:r>
        <w:rPr>
          <w:color w:val="444444"/>
          <w:sz w:val="18"/>
        </w:rPr>
        <w:t xml:space="preserve"> with this 1 BE + 1 FE team — see 00-program-overview.md for the program-level totals. Buffered (+20%) planning figure: ~73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1 Backend Engineer</w:t>
      </w:r>
      <w:r>
        <w:rPr>
          <w:color w:val="373737"/>
          <w:sz w:val="18"/>
        </w:rPr>
        <w:t xml:space="preserve"> and </w:t>
      </w:r>
      <w:r>
        <w:rPr>
          <w:b/>
          <w:color w:val="373737"/>
          <w:sz w:val="18"/>
        </w:rPr>
        <w:t>— 1 Frontend Engineer</w:t>
      </w:r>
      <w:r>
        <w:rPr>
          <w:color w:val="373737"/>
          <w:sz w:val="18"/>
        </w:rPr>
        <w:t xml:space="preserve"> in the Backend / Frontend sections of each </w:t>
      </w:r>
      <w:r>
        <w:rPr>
          <w:rFonts w:ascii="Courier New" w:hAnsi="Courier New"/>
          <w:sz w:val="18"/>
        </w:rPr>
        <w:t>FederatedGqlBreakDown-{domain}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Team size and domain sequencing: </w:t>
      </w:r>
      <w:r>
        <w:rPr>
          <w:rFonts w:ascii="Courier New" w:hAnsi="Courier New"/>
          <w:sz w:val="18"/>
        </w:rPr>
        <w:t>team_config.py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2026-07-19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