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Foundation &amp; Type Resolvers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32–62d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74–143d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p>
      <w:pPr>
        <w:spacing w:after="40"/>
      </w:pPr>
      <w:r>
        <w:rPr>
          <w:color w:val="444444"/>
          <w:sz w:val="18"/>
        </w:rPr>
        <w:t xml:space="preserve">Test-coverage/parity-harness work (formerly </w:t>
      </w:r>
      <w:r>
        <w:rPr>
          <w:rFonts w:ascii="Courier New" w:hAnsi="Courier New"/>
          <w:sz w:val="18"/>
        </w:rPr>
        <w:t>G-16</w:t>
      </w:r>
      <w:r>
        <w:rPr>
          <w:color w:val="444444"/>
          <w:sz w:val="18"/>
        </w:rPr>
        <w:t>) is tracked outside this Jira pipeline, created</w:t>
      </w:r>
    </w:p>
    <w:p>
      <w:pPr>
        <w:spacing w:after="40"/>
      </w:pPr>
      <w:r>
        <w:rPr>
          <w:color w:val="444444"/>
          <w:sz w:val="18"/>
        </w:rPr>
        <w:t xml:space="preserve">manually. </w:t>
      </w:r>
      <w:r>
        <w:rPr>
          <w:rFonts w:ascii="Courier New" w:hAnsi="Courier New"/>
          <w:sz w:val="18"/>
        </w:rPr>
        <w:t>G-15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BomMaterialSearchResult</w:t>
      </w:r>
      <w:r>
        <w:rPr>
          <w:color w:val="444444"/>
          <w:sz w:val="18"/>
        </w:rPr>
        <w:t xml:space="preserve"> field resolvers) is real field-resolver scope and stays in</w:t>
      </w:r>
    </w:p>
    <w:p>
      <w:pPr>
        <w:spacing w:after="40"/>
      </w:pPr>
      <w:r>
        <w:rPr>
          <w:color w:val="444444"/>
          <w:sz w:val="18"/>
        </w:rPr>
        <w:t>the sprint plan above (sprint 7).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resolver), A-05 (shared CI conformance gate)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port, drift guard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Foundation &amp; Type Resolvers · ⚙️ Complex Operations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backend, ADR-017 pin-down 1)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BOM-BE-A-05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Shared CI conformance gate +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SPIKE-05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A-04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test library that fails a PR when a schema type, a dispatch enum, and a golden fixture disagree — so the next added material/impression variant can't silently drift the way today's five hand-maintained switch tables can.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conformance library's three checks (SDL↔enum, explicit-default, golden-fixture-diff) run against </w:t>
            </w:r>
            <w:r>
              <w:rPr>
                <w:rFonts w:ascii="Courier New" w:hAnsi="Courier New"/>
                <w:sz w:val="17"/>
              </w:rPr>
              <w:t>BomConstants.kt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bom.graphqls</w:t>
            </w:r>
            <w:r>
              <w:rPr>
                <w:color w:val="373737"/>
                <w:sz w:val="17"/>
              </w:rPr>
              <w:t xml:space="preserve"> in bom's CI build and pass on the current (correct) mapping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Demonstrably fails on each drift direction, proven by a negative test per direction: an SDL member with no enum row; an enum row with no SDL type; an undeclared/implicit default; a mapping change with no fixture change in the same commit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Golden-table fixtures exist for both of bom's dispatch sites (</w:t>
            </w:r>
            <w:r>
              <w:rPr>
                <w:rFonts w:ascii="Courier New" w:hAnsi="Courier New"/>
                <w:sz w:val="17"/>
              </w:rPr>
              <w:t>BomMaterialInterface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BomImpressionDetailsInterface</w:t>
            </w:r>
            <w:r>
              <w:rPr>
                <w:color w:val="373737"/>
                <w:sz w:val="17"/>
              </w:rPr>
              <w:t xml:space="preserve">), seeded from ADR-017 §1 and backend-verified per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 AC-3 — including a HUB (code 9) material row and an unknown/missing category-code row (ADR-017 §5 fixture list)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CodeToTypeRegistry.md</w:t>
            </w:r>
            <w:r>
              <w:rPr>
                <w:color w:val="373737"/>
                <w:sz w:val="17"/>
              </w:rPr>
              <w:t xml:space="preserve">) is a standalone, human-readable page covering all five dispatch sites named in ADR-017 §1 (the three not yet built — </w:t>
            </w:r>
            <w:r>
              <w:rPr>
                <w:rFonts w:ascii="Courier New" w:hAnsi="Courier New"/>
                <w:sz w:val="17"/>
              </w:rPr>
              <w:t>SampleAsset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SampleV2.parent*</w:t>
            </w:r>
            <w:r>
              <w:rPr>
                <w:color w:val="373737"/>
                <w:sz w:val="17"/>
              </w:rPr>
              <w:t xml:space="preserve">, materials search — are recorded as later-phase rows so </w:t>
            </w:r>
            <w:r>
              <w:rPr>
                <w:rFonts w:ascii="Courier New" w:hAnsi="Courier New"/>
                <w:sz w:val="17"/>
              </w:rPr>
              <w:t>SAMPLE-BE-A-04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SAMPLE-BE-G-02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SEARCH-BE-B-01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SEARCH-BE-C-02</w:t>
            </w:r>
            <w:r>
              <w:rPr>
                <w:color w:val="373737"/>
                <w:sz w:val="17"/>
              </w:rPr>
              <w:t xml:space="preserve"> inherit the table rather than re-deriving it), and includes ADR-014's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 xml:space="preserve"> row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library is versioned with the schema-registry tooling and documented as a single shared artifact — no domain forks its own copy (ADR-017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does not touch any per-variant field resolver or dispatch table itself — those are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's and each per-variant </w:t>
            </w:r>
            <w:r>
              <w:rPr>
                <w:rFonts w:ascii="Courier New" w:hAnsi="Courier New"/>
                <w:sz w:val="17"/>
              </w:rPr>
              <w:t>G-0x</w:t>
            </w:r>
            <w:r>
              <w:rPr>
                <w:color w:val="373737"/>
                <w:sz w:val="17"/>
              </w:rPr>
              <w:t xml:space="preserve"> story's own scope; this story only builds and wires the shared gate + registry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strategy per ADR-013 §4-B implemented: a workspace-step failure after the body PUT compensates (dissociate/re-associate); a permissions-step failure retries then surfaces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 (stale ACL made visible, not silently swallowed)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step-3 (permissions) failure path yields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(3–4d)&lt;br&gt;🟢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FederatedGqlBreakDown-bom.md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