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 Impression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10–22d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 entity reference (recommended, PO-gated). Test coverage/parity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(2–3d)&lt;br&gt;🟢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FederatedGqlBreakDown-impression.md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