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Measurement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30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1  🟡 5  🟢 24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G, H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2026-07-19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Measurement</w:t>
      </w:r>
      <w:r>
        <w:rPr>
          <w:color w:val="373737"/>
          <w:sz w:val="20"/>
        </w:rPr>
        <w:t xml:space="preserve"> domain — measurement sets (the size/point-of-measure specs for a product), their sample measurements, and the master-data unit lists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</w:t>
      </w:r>
      <w:r>
        <w:rPr>
          <w:b/>
          <w:color w:val="373737"/>
          <w:sz w:val="20"/>
        </w:rPr>
        <w:t>mid-sized and mid-low risk</w:t>
      </w:r>
      <w:r>
        <w:rPr>
          <w:color w:val="373737"/>
          <w:sz w:val="20"/>
        </w:rPr>
        <w:t xml:space="preserve">: 7 queries, 8 mutations, 15 field resolvers on a 175-line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- The one genuinely harder piece is </w:t>
      </w:r>
      <w:r>
        <w:rPr>
          <w:rFonts w:ascii="Courier New" w:hAnsi="Courier New"/>
          <w:sz w:val="20"/>
        </w:rPr>
        <w:t>updateMeasurement</w:t>
      </w:r>
      <w:r>
        <w:rPr>
          <w:color w:val="373737"/>
          <w:sz w:val="20"/>
        </w:rPr>
        <w:t>, a 2-step write (workspace association, then body) with no rollback today.</w:t>
      </w:r>
    </w:p>
    <w:p>
      <w:pPr>
        <w:spacing w:after="80"/>
      </w:pPr>
      <w:r>
        <w:rPr>
          <w:rFonts w:ascii="Courier New" w:hAnsi="Courier New"/>
          <w:sz w:val="20"/>
        </w:rPr>
        <w:t>getMeasurements</w:t>
      </w:r>
      <w:r>
        <w:rPr>
          <w:color w:val="373737"/>
          <w:sz w:val="20"/>
        </w:rPr>
        <w:t xml:space="preserve"> depends on the </w:t>
      </w:r>
      <w:r>
        <w:rPr>
          <w:b/>
          <w:color w:val="373737"/>
          <w:sz w:val="20"/>
        </w:rPr>
        <w:t>relationship</w:t>
      </w:r>
      <w:r>
        <w:rPr>
          <w:color w:val="373737"/>
          <w:sz w:val="20"/>
        </w:rPr>
        <w:t xml:space="preserve"> service to find a product's measurement-set ids, and the template/size/tight-fit references are </w:t>
      </w:r>
      <w:r>
        <w:rPr>
          <w:b/>
          <w:color w:val="373737"/>
          <w:sz w:val="20"/>
        </w:rPr>
        <w:t>separate sibling domains</w:t>
      </w:r>
      <w:r>
        <w:rPr>
          <w:color w:val="373737"/>
          <w:sz w:val="20"/>
        </w:rPr>
        <w:t xml:space="preserve"> we only reference (not migrate here).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ACL.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>), permission-check and own-domain-token call sites stay resolver-local (context-only, unchanged); measurement has zero downstream-token sites.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cacheable master-data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6 simple + </w:t>
            </w:r>
            <w:r>
              <w:rPr>
                <w:rFonts w:ascii="Courier New" w:hAnsi="Courier New"/>
                <w:sz w:val="18"/>
              </w:rPr>
              <w:t>updateMeasurement</w:t>
            </w:r>
            <w:r>
              <w:rPr>
                <w:color w:val="373737"/>
                <w:sz w:val="18"/>
              </w:rPr>
              <w:t xml:space="preserve"> (2-step) + add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Measurement</w:t>
            </w:r>
            <w:r>
              <w:rPr>
                <w:color w:val="373737"/>
                <w:sz w:val="18"/>
              </w:rPr>
              <w:t xml:space="preserve"> (13), </w:t>
            </w:r>
            <w:r>
              <w:rPr>
                <w:rFonts w:ascii="Courier New" w:hAnsi="Courier New"/>
                <w:sz w:val="18"/>
              </w:rPr>
              <w:t>SampleMeasurementSet</w:t>
            </w:r>
            <w:r>
              <w:rPr>
                <w:color w:val="373737"/>
                <w:sz w:val="18"/>
              </w:rPr>
              <w:t xml:space="preserve"> (2)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 keys (2 🔴 · 6 🟡 · 3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relationship/search 🔴; templates 🟡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(Product, SampleV2)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product/sample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20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MST-BE-E-01 — updateMeasurement — 2-step orchestrated write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11–22d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14–29d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&amp; Stitching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2–5d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Entity Resolution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30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45–90d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Computed live from </w:t>
      </w:r>
      <w:r>
        <w:rPr>
          <w:rFonts w:ascii="Courier New" w:hAnsi="Courier New"/>
          <w:sz w:val="18"/>
        </w:rPr>
        <w:t>be-04-stories.md</w:t>
      </w:r>
      <w:r>
        <w:rPr>
          <w:color w:val="444444"/>
          <w:sz w:val="18"/>
        </w:rPr>
        <w:t xml:space="preserve"> (phase + complexity per story) — always reconciles with the story tables below and the program overview. Effort = sum of per-story nominal day-ranges (Low 1–2 · Medium 2–4 · High 4–7 · Very High 7–12) × 1.2 buffer, AI-estimated — confirm in refinement. See each story's </w:t>
      </w:r>
      <w:r>
        <w:rPr>
          <w:b/>
          <w:color w:val="444444"/>
          <w:sz w:val="18"/>
        </w:rPr>
        <w:t>Depends On</w:t>
      </w:r>
      <w:r>
        <w:rPr>
          <w:color w:val="444444"/>
          <w:sz w:val="18"/>
        </w:rPr>
        <w:t xml:space="preserve"> column for real sequencing.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~8–14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~5–8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~4–6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critical path A → E-01 → G-01 → G-04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C-01/C-02 + D-01–D-04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listing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D-05–D-07 + E-01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remaining mutations + </w:t>
            </w:r>
            <w:r>
              <w:rPr>
                <w:rFonts w:ascii="Courier New" w:hAnsi="Courier New"/>
                <w:sz w:val="18"/>
              </w:rPr>
              <w:t>updateMeasurement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G-01–G-02, G-04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(G-04 recommended, PO-gated). Test coverage/parity tracked outside this Jira pipeline, created manually.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F-01, H-01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H-01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sample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 · 🧬 Entity Resolution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G-07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✏️ Mutations · 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D-08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(1–2d) ⛔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H-01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~56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(9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getMeasurementByIds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measurement sets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camelCase.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measurements for ids with </w:t>
            </w:r>
            <w:r>
              <w:rPr>
                <w:rFonts w:ascii="Courier New" w:hAnsi="Courier New"/>
                <w:sz w:val="17"/>
              </w:rPr>
              <w:t>calculated</w:t>
            </w:r>
            <w:r>
              <w:rPr>
                <w:color w:val="373737"/>
                <w:sz w:val="17"/>
              </w:rPr>
              <w:t xml:space="preserve"> flag forwarded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ids → </w:t>
            </w:r>
            <w:r>
              <w:rPr>
                <w:rFonts w:ascii="Courier New" w:hAnsi="Courier New"/>
                <w:sz w:val="17"/>
              </w:rPr>
              <w:t>[]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snake→camel mapping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getUnitsOfMeasure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unit-of-measure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units_of_measure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UoM list (optionally filtered by ids)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getThicknessUnitsOfMeasure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thickness unit-of-measure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units_of_measure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thickness UoM list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getMeasurementSetStatus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measurement-set status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{key:value} map → [{code, description}]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statuses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key→code, value→description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getSampleMeasurement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the measurement set for a sample.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camelCase.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the sample measurement set for </w:t>
            </w:r>
            <w:r>
              <w:rPr>
                <w:rFonts w:ascii="Courier New" w:hAnsi="Courier New"/>
                <w:sz w:val="17"/>
              </w:rPr>
              <w:t>sampleId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Not found → </w:t>
            </w:r>
            <w:r>
              <w:rPr>
                <w:rFonts w:ascii="Courier New" w:hAnsi="Courier New"/>
                <w:sz w:val="17"/>
              </w:rPr>
              <w:t>null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getMeasurementTemplates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getMeasurementTemplatesByIds</w:t>
            </w:r>
            <w:r>
              <w:rPr>
                <w:color w:val="373737"/>
                <w:sz w:val="17"/>
              </w:rPr>
              <w:t xml:space="preserve"> data fetchers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or look up measurement templates.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getMeasurementTemplates(page, size) → GET …,desc (falsy params stripped, array params comma-joined) → camelCase, paged. getMeasurementTemplatesByIds(ids) → GET … →…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getMeasurementTemplates</w:t>
            </w:r>
            <w:r>
              <w:rPr>
                <w:color w:val="373737"/>
                <w:sz w:val="17"/>
              </w:rPr>
              <w:t xml:space="preserve"> returns a sorted, paged list honoring </w:t>
            </w:r>
            <w:r>
              <w:rPr>
                <w:rFonts w:ascii="Courier New" w:hAnsi="Courier New"/>
                <w:sz w:val="17"/>
              </w:rPr>
              <w:t>page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size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getMeasurementTemplatesByIds</w:t>
            </w:r>
            <w:r>
              <w:rPr>
                <w:color w:val="373737"/>
                <w:sz w:val="17"/>
              </w:rPr>
              <w:t xml:space="preserve"> returns templates for the given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Empty ids → empty paged content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getSizeTemplates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getSizeCategories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getMaterialTypes</w:t>
            </w:r>
            <w:r>
              <w:rPr>
                <w:color w:val="373737"/>
                <w:sz w:val="17"/>
              </w:rPr>
              <w:t xml:space="preserve"> data fetchers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 up size templates and their master-data lookups (size category, material type).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getSizeTemplates(ids) → POST … (id+version pairs) → camelCase. getSizeCategories(ids) → GET … → size_categories camelCase (cacheable). getMaterialTypes(ids) → GET … →…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getSizeTemplates</w:t>
            </w:r>
            <w:r>
              <w:rPr>
                <w:color w:val="373737"/>
                <w:sz w:val="17"/>
              </w:rPr>
              <w:t xml:space="preserve"> resolves by id+version pairs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getSizeCategories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getMaterialTypes</w:t>
            </w:r>
            <w:r>
              <w:rPr>
                <w:color w:val="373737"/>
                <w:sz w:val="17"/>
              </w:rPr>
              <w:t xml:space="preserve"> return the lookup lists, optionally filtered by ids, 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getTightFits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getTightFitByIdAndVersion</w:t>
            </w:r>
            <w:r>
              <w:rPr>
                <w:color w:val="373737"/>
                <w:sz w:val="17"/>
              </w:rPr>
              <w:t xml:space="preserve"> data fetchers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or look up tight-fit templates.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getTightFits(ids, name, statusIds, brandIds, divisionIds, departmentIds) → GET … (qs-stringified) → camelCase, wrapped {tightFits}. getTightFitByIdAndVersion(id…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getTightFits</w:t>
            </w:r>
            <w:r>
              <w:rPr>
                <w:color w:val="373737"/>
                <w:sz w:val="17"/>
              </w:rPr>
              <w:t xml:space="preserve"> filters by any combination of the given params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getTightFitByIdAndVersion</w:t>
            </w:r>
            <w:r>
              <w:rPr>
                <w:color w:val="373737"/>
                <w:sz w:val="17"/>
              </w:rPr>
              <w:t xml:space="preserve"> resolves the exact version; not found → </w:t>
            </w:r>
            <w:r>
              <w:rPr>
                <w:rFonts w:ascii="Courier New" w:hAnsi="Courier New"/>
                <w:sz w:val="17"/>
              </w:rPr>
              <w:t>null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searchSparkSizes</w:t>
            </w:r>
            <w:r>
              <w:rPr>
                <w:color w:val="373737"/>
                <w:sz w:val="17"/>
              </w:rPr>
              <w:t xml:space="preserve"> data fetcher (NEXUS + Tag fan-out)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NEXUS_Attributes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sizes across both the Nexus platform and Spark's own tag-based sizes.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Fans out in parallel: NEXUS_Attributes.Query.searchSizes(nameFilter, page:0, size) (platform, gateway stitch) tagged source:'Nexus', and…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up to </w:t>
            </w:r>
            <w:r>
              <w:rPr>
                <w:rFonts w:ascii="Courier New" w:hAnsi="Courier New"/>
                <w:sz w:val="17"/>
              </w:rPr>
              <w:t>size</w:t>
            </w:r>
            <w:r>
              <w:rPr>
                <w:color w:val="373737"/>
                <w:sz w:val="17"/>
              </w:rPr>
              <w:t xml:space="preserve"> results, Nexus + Spark tag sizes combined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result tagged with its </w:t>
            </w:r>
            <w:r>
              <w:rPr>
                <w:rFonts w:ascii="Courier New" w:hAnsi="Courier New"/>
                <w:sz w:val="17"/>
              </w:rPr>
              <w:t>source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Empty/no-match → </w:t>
            </w:r>
            <w:r>
              <w:rPr>
                <w:rFonts w:ascii="Courier New" w:hAnsi="Courier New"/>
                <w:sz w:val="17"/>
              </w:rPr>
              <w:t>[]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MST-BE-B-01: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measurement.graphqls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getMeasurements</w:t>
            </w:r>
            <w:r>
              <w:rPr>
                <w:color w:val="373737"/>
                <w:sz w:val="17"/>
              </w:rPr>
              <w:t xml:space="preserve"> data fetcher (relationship + listing)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relationship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a resource's measurement sets (resolves the relationship first).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relationships = relationship.findRelationships(resourceId, {includeNodeTypes:['measurement_set'], maxDepth:0}). 2. ids = relationships.map(n =&gt; n.id); if empty → [].…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Resolves ids via relationship then fetches measurements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ids → </w:t>
            </w:r>
            <w:r>
              <w:rPr>
                <w:rFonts w:ascii="Courier New" w:hAnsi="Courier New"/>
                <w:sz w:val="17"/>
              </w:rPr>
              <w:t>{content:[]}</w:t>
            </w:r>
            <w:r>
              <w:rPr>
                <w:color w:val="373737"/>
                <w:sz w:val="17"/>
              </w:rPr>
              <w:t xml:space="preserve"> (no measurement call)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Sorted </w:t>
            </w:r>
            <w:r>
              <w:rPr>
                <w:rFonts w:ascii="Courier New" w:hAnsi="Courier New"/>
                <w:sz w:val="17"/>
              </w:rPr>
              <w:t>createdAt DESC</w:t>
            </w:r>
            <w:r>
              <w:rPr>
                <w:color w:val="373737"/>
                <w:sz w:val="17"/>
              </w:rPr>
              <w:t xml:space="preserve"> (location documented)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getMeasurementsElastic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measurement sets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{content} = search.getMeasurementSets → sort createdAt DESC → {content}. - EXT Service Calls: EXT → key: search · severity: — elastic measurement-set index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elastic content for </w:t>
            </w:r>
            <w:r>
              <w:rPr>
                <w:rFonts w:ascii="Courier New" w:hAnsi="Courier New"/>
                <w:sz w:val="17"/>
              </w:rPr>
              <w:t>parentId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Sorted </w:t>
            </w:r>
            <w:r>
              <w:rPr>
                <w:rFonts w:ascii="Courier New" w:hAnsi="Courier New"/>
                <w:sz w:val="17"/>
              </w:rPr>
              <w:t>createdAt DESC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→ </w:t>
            </w:r>
            <w:r>
              <w:rPr>
                <w:rFonts w:ascii="Courier New" w:hAnsi="Courier New"/>
                <w:sz w:val="17"/>
              </w:rPr>
              <w:t>{content:[]}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(10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addMeasurement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 (snake_case request, primeKey: humanId); on validationErrors\|\|message → throw. No ACL (new resource)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POST creates + returns mapped </w:t>
            </w:r>
            <w:r>
              <w:rPr>
                <w:rFonts w:ascii="Courier New" w:hAnsi="Courier New"/>
                <w:sz w:val="17"/>
              </w:rPr>
              <w:t>Measurement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Cache primed with </w:t>
            </w:r>
            <w:r>
              <w:rPr>
                <w:rFonts w:ascii="Courier New" w:hAnsi="Courier New"/>
                <w:sz w:val="17"/>
              </w:rPr>
              <w:t>humanId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updateMeasurementAccess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Change who can access a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…/{id}/permission body {systemTeamIds} or {systemTeamDto} (whichever provided).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Sends </w:t>
            </w:r>
            <w:r>
              <w:rPr>
                <w:rFonts w:ascii="Courier New" w:hAnsi="Courier New"/>
                <w:sz w:val="17"/>
              </w:rPr>
              <w:t>{systemTeamIds}</w:t>
            </w:r>
            <w:r>
              <w:rPr>
                <w:color w:val="373737"/>
                <w:sz w:val="17"/>
              </w:rPr>
              <w:t xml:space="preserve"> when provided, else </w:t>
            </w:r>
            <w:r>
              <w:rPr>
                <w:rFonts w:ascii="Courier New" w:hAnsi="Courier New"/>
                <w:sz w:val="17"/>
              </w:rPr>
              <w:t>{systemTeamDto}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updated measurement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Input-shape decision recorded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lockMeasurementSet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 a measurement set from edits.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…/{id}/lock.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</w:t>
            </w:r>
            <w:r>
              <w:rPr>
                <w:rFonts w:ascii="Courier New" w:hAnsi="Courier New"/>
                <w:sz w:val="17"/>
              </w:rPr>
              <w:t>/lock</w:t>
            </w:r>
            <w:r>
              <w:rPr>
                <w:color w:val="373737"/>
                <w:sz w:val="17"/>
              </w:rPr>
              <w:t xml:space="preserve"> returns locked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unlockMeasurementSet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Unlock a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…/{id}/unlock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</w:t>
            </w:r>
            <w:r>
              <w:rPr>
                <w:rFonts w:ascii="Courier New" w:hAnsi="Courier New"/>
                <w:sz w:val="17"/>
              </w:rPr>
              <w:t>/unlock</w:t>
            </w:r>
            <w:r>
              <w:rPr>
                <w:color w:val="373737"/>
                <w:sz w:val="17"/>
              </w:rPr>
              <w:t xml:space="preserve"> returns unlocked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updateMeasurementComponentStatus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the component status on measurement sets.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…/component_status_update body {productId, ids, status}. No ACL token — confirm backend enforces (like BOM D-05)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sends </w:t>
            </w:r>
            <w:r>
              <w:rPr>
                <w:rFonts w:ascii="Courier New" w:hAnsi="Courier New"/>
                <w:sz w:val="17"/>
              </w:rPr>
              <w:t>{productId, ids, status}</w:t>
            </w:r>
            <w:r>
              <w:rPr>
                <w:color w:val="373737"/>
                <w:sz w:val="17"/>
              </w:rPr>
              <w:t xml:space="preserve"> snake_case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MeasurementPaged{content}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Auth decision recorded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putSampleMeasurementSet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or replace a sample's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…/sample (primeKey: sampleId); token for [measurementSetId, sampleId]; on validationErrors\|\|message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PUT upserts the sample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Cache primed by </w:t>
            </w:r>
            <w:r>
              <w:rPr>
                <w:rFonts w:ascii="Courier New" w:hAnsi="Courier New"/>
                <w:sz w:val="17"/>
              </w:rPr>
              <w:t>sampleId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deleteSampleMeasurementSet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Delete a sample's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DELETE …/sample/{sampleId}.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DELETE removes the sample set; returns the deleted/empty result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addMeasurementTemplate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updateMeasurementTemplate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deleteMeasurementTemplate</w:t>
            </w:r>
            <w:r>
              <w:rPr>
                <w:color w:val="373737"/>
                <w:sz w:val="17"/>
              </w:rPr>
              <w:t xml:space="preserve"> mutations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B-06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Create, update, or delete a measurement template.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addMeasurementTemplate — token [SPARK_POM_CREATE_MODIFY_TARGET_LIBRARY] → POST … (snake_case request); on validationErrors\|\|message → throw. updateMeasurementTemplate…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add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update</w:t>
            </w:r>
            <w:r>
              <w:rPr>
                <w:color w:val="373737"/>
                <w:sz w:val="17"/>
              </w:rPr>
              <w:t xml:space="preserve"> POST/PUT create or replace the template;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delete</w:t>
            </w:r>
            <w:r>
              <w:rPr>
                <w:color w:val="373737"/>
                <w:sz w:val="17"/>
              </w:rPr>
              <w:t xml:space="preserve"> removes the templates for the given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Delete auth decision recorded (no JWT today)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addSizeTemplate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updateSizeTemplate</w:t>
            </w:r>
            <w:r>
              <w:rPr>
                <w:color w:val="373737"/>
                <w:sz w:val="17"/>
              </w:rPr>
              <w:t xml:space="preserve"> mutations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B-07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or update a size template.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[SPARK_POM_CREATE_MODIFY_TARGET_LIBRARY] → POST … (add) / PUT … (update), both snake_case request/camelCase response; on validationErrors\|\|message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add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update</w:t>
            </w:r>
            <w:r>
              <w:rPr>
                <w:color w:val="373737"/>
                <w:sz w:val="17"/>
              </w:rPr>
              <w:t xml:space="preserve"> POST/PUT create or replace the size template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addTightFit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updateTightFit</w:t>
            </w:r>
            <w:r>
              <w:rPr>
                <w:color w:val="373737"/>
                <w:sz w:val="17"/>
              </w:rPr>
              <w:t xml:space="preserve"> mutations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B-08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or update a tight-fit template.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[SPARK_POM_CREATE_MODIFY_TARGET_LIBRARY] → POST … (add) / PUT … (update), both snake_case request/camelCase response; on validationErrors\|\|message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add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update</w:t>
            </w:r>
            <w:r>
              <w:rPr>
                <w:color w:val="373737"/>
                <w:sz w:val="17"/>
              </w:rPr>
              <w:t xml:space="preserve"> POST/PUT create or replace the tight fit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MST-BE-E-01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updateMeasurement</w:t>
            </w:r>
            <w:r>
              <w:rPr>
                <w:color w:val="373737"/>
                <w:sz w:val="17"/>
              </w:rPr>
              <w:t xml:space="preserve"> — 2-step orchestrated write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measurement set — a 2-step write (workspace + body) that has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workspaceAssociations = sparkMeasurement.updateWorkspaceAssociations \|\| {}. token for [humanId]. 2. If add/remove workspaces → workspaceAssociationHelper(MEASUREMENT…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3 fixtures: body-only; body+workspace-add; body+workspace-remove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step runs before body PUT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Body PUT omits </w:t>
            </w:r>
            <w:r>
              <w:rPr>
                <w:rFonts w:ascii="Courier New" w:hAnsi="Courier New"/>
                <w:sz w:val="17"/>
              </w:rPr>
              <w:t>humanId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Chosen failure strategy implemented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order workspace→body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no-workspace skip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body-failure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3 fixtures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MST-BE-F-01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Implement </w:t>
            </w:r>
            <w:r>
              <w:rPr>
                <w:rFonts w:ascii="Courier New" w:hAnsi="Courier New"/>
                <w:sz w:val="17"/>
              </w:rPr>
              <w:t>Product.measurementSets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relationship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measurement sets on the Product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navigates to measurement sets via the relationship + getMeasurements flow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Product.measurementSets</w:t>
            </w:r>
            <w:r>
              <w:rPr>
                <w:color w:val="373737"/>
                <w:sz w:val="17"/>
              </w:rPr>
              <w:t xml:space="preserve"> resolves internally via </w:t>
            </w:r>
            <w:r>
              <w:rPr>
                <w:rFonts w:ascii="Courier New" w:hAnsi="Courier New"/>
                <w:sz w:val="17"/>
              </w:rPr>
              <w:t>measurementService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gateway hop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current product resolver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(6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Measurement</w:t>
            </w:r>
            <w:r>
              <w:rPr>
                <w:color w:val="373737"/>
                <w:sz w:val="17"/>
              </w:rPr>
              <w:t xml:space="preserve"> field resolvers (13 fields)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sampleV2, vmm, userAttributes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B-01, B-06, B-07, B-08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everyday measurement fields (people, product, partners, templates).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access/currentUserPermissions , businessPartners (loadBps), createdBy/updatedBy (getUserByIDOrNullIfNotFound), product (PID-prefixed → internal product.getByID)…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13 fields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</w:t>
            </w:r>
            <w:r>
              <w:rPr>
                <w:rFonts w:ascii="Courier New" w:hAnsi="Courier New"/>
                <w:sz w:val="17"/>
              </w:rPr>
              <w:t>resourceId</w:t>
            </w:r>
            <w:r>
              <w:rPr>
                <w:color w:val="373737"/>
                <w:sz w:val="17"/>
              </w:rPr>
              <w:t xml:space="preserve">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status</w:t>
            </w:r>
            <w:r>
              <w:rPr>
                <w:color w:val="373737"/>
                <w:sz w:val="17"/>
              </w:rPr>
              <w:t xml:space="preserve"> = </w:t>
            </w:r>
            <w:r>
              <w:rPr>
                <w:rFonts w:ascii="Courier New" w:hAnsi="Courier New"/>
                <w:sz w:val="17"/>
              </w:rPr>
              <w:t>{statusId, statusName}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empty → 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updatedFromResource</w:t>
            </w:r>
            <w:r>
              <w:rPr>
                <w:color w:val="373737"/>
                <w:sz w:val="17"/>
              </w:rPr>
              <w:t xml:space="preserve"> resolves only for </w:t>
            </w:r>
            <w:r>
              <w:rPr>
                <w:rFonts w:ascii="Courier New" w:hAnsi="Courier New"/>
                <w:sz w:val="17"/>
              </w:rPr>
              <w:t>type==='sample'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SampleMeasurementSet</w:t>
            </w:r>
            <w:r>
              <w:rPr>
                <w:color w:val="373737"/>
                <w:sz w:val="17"/>
              </w:rPr>
              <w:t xml:space="preserve"> field resolvers (2 fields)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sample-measurement-set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2 @DgsData fields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resolves by user id (null id → null)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measurementSizeId</w:t>
            </w:r>
            <w:r>
              <w:rPr>
                <w:color w:val="373737"/>
                <w:sz w:val="17"/>
              </w:rPr>
              <w:t xml:space="preserve"> = </w:t>
            </w:r>
            <w:r>
              <w:rPr>
                <w:rFonts w:ascii="Courier New" w:hAnsi="Courier New"/>
                <w:sz w:val="17"/>
              </w:rPr>
              <w:t>measurementSize.code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MeasurementTemplate</w:t>
            </w:r>
            <w:r>
              <w:rPr>
                <w:color w:val="373737"/>
                <w:sz w:val="17"/>
              </w:rPr>
              <w:t xml:space="preserve"> field resolvers (5 fields)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ig, vmm, userAttributes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B-06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measurement template's people and item-group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createdBy/updatedBy (getUserByIDOrNullIfNotFound), departments/divisions (ig.department\|division.getByID, empty-tolerant), brands (brand.getBrand, skipped when…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5 fields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departments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divisions</w:t>
            </w:r>
            <w:r>
              <w:rPr>
                <w:color w:val="373737"/>
                <w:sz w:val="17"/>
              </w:rPr>
              <w:t xml:space="preserve"> null-tolerant on empty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brands</w:t>
            </w:r>
            <w:r>
              <w:rPr>
                <w:color w:val="373737"/>
                <w:sz w:val="17"/>
              </w:rPr>
              <w:t xml:space="preserve"> skipped (null) when </w:t>
            </w:r>
            <w:r>
              <w:rPr>
                <w:rFonts w:ascii="Courier New" w:hAnsi="Courier New"/>
                <w:sz w:val="17"/>
              </w:rPr>
              <w:t>brandIds === -1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MST-BE-G-06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SizeTemplate</w:t>
            </w:r>
            <w:r>
              <w:rPr>
                <w:color w:val="373737"/>
                <w:sz w:val="17"/>
              </w:rPr>
              <w:t xml:space="preserve"> field resolvers (3 fields)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B-07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size template's computed id and people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humanId (humanId \|\| id — computed fallback), createdBy/updatedBy (getUserByIDOrNullIfNotFound)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3 fields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humanId</w:t>
            </w:r>
            <w:r>
              <w:rPr>
                <w:color w:val="373737"/>
                <w:sz w:val="17"/>
              </w:rPr>
              <w:t xml:space="preserve"> falls back to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color w:val="373737"/>
                <w:sz w:val="17"/>
              </w:rPr>
              <w:t xml:space="preserve"> when the record has no </w:t>
            </w:r>
            <w:r>
              <w:rPr>
                <w:rFonts w:ascii="Courier New" w:hAnsi="Courier New"/>
                <w:sz w:val="17"/>
              </w:rPr>
              <w:t>humanId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MST-BE-G-07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TightFit</w:t>
            </w:r>
            <w:r>
              <w:rPr>
                <w:color w:val="373737"/>
                <w:sz w:val="17"/>
              </w:rPr>
              <w:t xml:space="preserve"> field resolvers (5 fields)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ig, vmm, userAttributes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B-08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tight-fit template's people and item-group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departments/divisions (ig.department\|division.getByID, empty-tolerant), brands (brand.getBrand, skipped when brandIds === -1), createdBy/updatedBy…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5 fields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departments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divisions</w:t>
            </w:r>
            <w:r>
              <w:rPr>
                <w:color w:val="373737"/>
                <w:sz w:val="17"/>
              </w:rPr>
              <w:t xml:space="preserve"> null-tolerant on empty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brands</w:t>
            </w:r>
            <w:r>
              <w:rPr>
                <w:color w:val="373737"/>
                <w:sz w:val="17"/>
              </w:rPr>
              <w:t xml:space="preserve"> skipped (null) when </w:t>
            </w:r>
            <w:r>
              <w:rPr>
                <w:rFonts w:ascii="Courier New" w:hAnsi="Courier New"/>
                <w:sz w:val="17"/>
              </w:rPr>
              <w:t>brandIds === -1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SampleMeasurementSet.sample</w:t>
            </w:r>
            <w:r>
              <w:rPr>
                <w:color w:val="373737"/>
                <w:sz w:val="17"/>
              </w:rPr>
              <w:t xml:space="preserve"> forward reference (recommended, PO-gated)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sample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B-02 (carries B-05 `getSampleMeasurement`, grouped-XS merged)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Adds </w:t>
            </w:r>
            <w:r>
              <w:rPr>
                <w:rFonts w:ascii="Courier New" w:hAnsi="Courier New"/>
                <w:sz w:val="17"/>
              </w:rPr>
              <w:t>sample { … }</w:t>
            </w:r>
            <w:r>
              <w:rPr>
                <w:color w:val="373737"/>
                <w:sz w:val="17"/>
              </w:rPr>
              <w:t xml:space="preserve"> on the sample measurement set — the forward twin of the existing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schema adds sample: SampleV2 on SampleMeasurementSet; resolver emits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PO approval recorded (OQ-5)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sample { id }</w:t>
            </w:r>
            <w:r>
              <w:rPr>
                <w:color w:val="373737"/>
                <w:sz w:val="17"/>
              </w:rPr>
              <w:t xml:space="preserve"> resolves as a stub; </w:t>
            </w:r>
            <w:r>
              <w:rPr>
                <w:rFonts w:ascii="Courier New" w:hAnsi="Courier New"/>
                <w:sz w:val="17"/>
              </w:rPr>
              <w:t>sampleId</w:t>
            </w:r>
            <w:r>
              <w:rPr>
                <w:color w:val="373737"/>
                <w:sz w:val="17"/>
              </w:rPr>
              <w:t xml:space="preserve"> unchanged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Pairs cleanly with MST-BE-H-01 (no circular resolution at the gateway — verified by a two-hop smoke query)</w:t>
            </w:r>
          </w:p>
        </w:tc>
      </w:tr>
    </w:tbl>
    <w:p/>
    <w:p>
      <w:pPr>
        <w:spacing w:before="200" w:after="60"/>
        <w:shd w:val="clear" w:color="auto" w:fill="E8E8E8"/>
      </w:pPr>
      <w:r>
        <w:rPr>
          <w:b/>
          <w:color w:val="333333"/>
          <w:sz w:val="22"/>
        </w:rPr>
        <w:t>🧬 Phase H — Entity Resolution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MST-BE-H-01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Contribute </w:t>
            </w:r>
            <w:r>
              <w:rPr>
                <w:rFonts w:ascii="Courier New" w:hAnsi="Courier New"/>
                <w:sz w:val="17"/>
              </w:rPr>
              <w:t>sampleMeasurement</w:t>
            </w:r>
            <w:r>
              <w:rPr>
                <w:color w:val="373737"/>
                <w:sz w:val="17"/>
              </w:rPr>
              <w:t xml:space="preserve"> to the </w:t>
            </w:r>
            <w:r>
              <w:rPr>
                <w:rFonts w:ascii="Courier New" w:hAnsi="Courier New"/>
                <w:sz w:val="17"/>
              </w:rPr>
              <w:t>SampleV2</w:t>
            </w:r>
            <w:r>
              <w:rPr>
                <w:color w:val="373737"/>
                <w:sz w:val="17"/>
              </w:rPr>
              <w:t xml:space="preserve"> entity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a sample's measurement set to the Sample entity.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sample navigates to its measurement set via getSampleMeasurement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SampleV2.sampleMeasurement</w:t>
            </w:r>
            <w:r>
              <w:rPr>
                <w:color w:val="373737"/>
                <w:sz w:val="17"/>
              </w:rPr>
              <w:t xml:space="preserve"> resolves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current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Measurement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0 High · 🟡 3 Medium · 🟢 1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12–19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 operation-to-root-field rows · 5 client files · 8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2026-07-19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Measurement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measurement reads and retire </w:t>
            </w:r>
            <w:r>
              <w:rPr>
                <w:rFonts w:ascii="Courier New" w:hAnsi="Courier New"/>
                <w:sz w:val="18"/>
              </w:rPr>
              <w:t>humanId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MST-BE-B-04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getMeasurementByIds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getMeasurementSetStatus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getMeasurementComponentStatus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measurement list/search reads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MST-BE-C-02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getMeasurements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getMeasurementsElastic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measurement master-data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MST-BE-B-03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getUnitsOfMeasure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getThicknessUnitsOfMeasure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measurement mutations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MST-BE-D-07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lockMeasurementSet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unlockMeasurementSet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putSampleMeasurementSet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deleteSampleMeasurementSet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MST-BE-B-01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MST-BE-B-04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MST-FE-003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MST-BE-B-02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MST-BE-B-03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MST-BE-C-01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MST-BE-C-02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MST-BE-D-03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MST-BE-D-07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MST-FE-001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MST-FE-004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 (4–6d)&lt;br&gt;🟢 </w:t>
            </w:r>
            <w:r>
              <w:rPr>
                <w:rFonts w:ascii="Courier New" w:hAnsi="Courier New"/>
                <w:sz w:val="18"/>
              </w:rPr>
              <w:t>MST-FE-003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MST-FE-002</w:t>
            </w:r>
            <w:r>
              <w:rPr>
                <w:color w:val="373737"/>
                <w:sz w:val="18"/>
              </w:rPr>
              <w:t xml:space="preserve"> (3–5d)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MST-FE-004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~16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FederatedGqlBreakDown-measurement.md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