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material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(1)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  <w:tc>
          <w:tcPr>
            <w:tcW w:type="dxa" w:w="2051"/>
          </w:tcPr>
          <w:p/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removed)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B-01, D-02 · gated on </w:t>
            </w:r>
            <w:r>
              <w:rPr>
                <w:rFonts w:ascii="Courier New" w:hAnsi="Courier New"/>
                <w:sz w:val="18"/>
              </w:rPr>
              <w:t>SPIKE-01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32–52d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removed,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rescoped)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68–113d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14–23 sprints</w:t>
      </w:r>
      <w:r>
        <w:rPr>
          <w:color w:val="444444"/>
          <w:sz w:val="18"/>
        </w:rPr>
        <w:t xml:space="preserve"> (5d). Phases B/C/D/G parallelize heavily after B-01.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tests, parity harness, load test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⚙️ Complex Operations · 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~47 working days with 2 engineers vs ~91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backend)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implemented; partial failure emits a compensation-log entry (if (b)/(c)) or compensates (if (a))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step-3 failure path (strategy)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E-01, G-08, 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automated tests + a parity harness that prove the new BOM DGS returns exactly what the old gateway did before we switch traffic.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 on fetchers/services; a parity harness recording ≥30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coverage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harness covers all 7 material types + internal/external impression branch + </w:t>
            </w: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5 fixtures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Schema-conformance check fails the build if an impl misses an interface field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impls; conformance check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