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BOM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4 High · 🟡 1 Medium · 🟢 2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4 client files · 7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BOM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Statically expand BOM fragment factories (pre-cutover)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search and elastic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getBomElastic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master-data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getBomPackagingSubstrates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getBomPackagingUnitOfMeasure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getComboSupplierForBom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getValidTrimSuppliersForBom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getValidRawMaterialSuppliersForBom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BOM mutations including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Adopt BOM </w:t>
            </w:r>
            <w:r>
              <w:rPr>
                <w:rFonts w:ascii="Courier New" w:hAnsi="Courier New"/>
                <w:sz w:val="18"/>
              </w:rPr>
              <w:t>supplier</w:t>
            </w:r>
            <w:r>
              <w:rPr>
                <w:color w:val="373737"/>
                <w:sz w:val="18"/>
              </w:rPr>
              <w:t xml:space="preserve"> entity references (optional, PO-gated)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enhancement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(8–12d)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~24 FE build days with 2 engineers vs ~38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FederatedGqlBreakDown-BE-bom.md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