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Product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(host)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3 High · 🟡 9 Medium · 🟢 0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66–102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 operation-to-root-field rows · 20 client files · 48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2026-07-17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Product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(host)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 documents in product-queries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10–15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shared-library </w:t>
            </w: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 consumers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getProductVersions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list and bulk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getProductsByIds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status and workspace-context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getProductStatus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template library and categories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getProductTemplates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getCategories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rules administration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getProductRulesById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getAllAvailableRules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getProductDeptRules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getProductBPRules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searchProductRules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addProductRule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updateProductRule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deleteProductRule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simple product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carryForwardProduct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updateViewToggle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linkProduct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unlinkProduct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team and partner assignment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addTeamsToProduct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addBusinessPartnersToProductWithType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updateProductTeamsWorkspaceContext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partner drop/undrop orchestration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updateBusinessPartnerStatuses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TechPack count queries (facade-then-federate)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 (staged)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 (step 1) + 4–6 days (step 2)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component status rollups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updateComponentStatus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updateComponentStatuses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Verify fragment type-conditions, </w:t>
            </w:r>
            <w:r>
              <w:rPr>
                <w:rFonts w:ascii="Courier New" w:hAnsi="Courier New"/>
                <w:sz w:val="18"/>
              </w:rPr>
              <w:t>__typename</w:t>
            </w:r>
            <w:r>
              <w:rPr>
                <w:color w:val="373737"/>
                <w:sz w:val="18"/>
              </w:rPr>
              <w:t xml:space="preserve"> logic and cache keys against federated type names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Verification / refactor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PRODUCT-BE-F-14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cross-cutting (no single operation)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PRODUCT-BE-B-04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 (+5)&lt;br&gt;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(+4)&lt;br&gt;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PRODUCT-BE-F-14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PRODUCT-BE-D-09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PRODUCT-FE-001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PRODUCT-FE-009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Frontend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packed onto </w:t>
      </w:r>
      <w:r>
        <w:rPr>
          <w:b/>
          <w:color w:val="444444"/>
          <w:sz w:val="18"/>
        </w:rPr>
        <w:t>two frontend engineers</w:t>
      </w:r>
      <w:r>
        <w:rPr>
          <w:color w:val="444444"/>
          <w:sz w:val="18"/>
        </w:rPr>
        <w:t xml:space="preserve">. Lanes re-sync at each step because the step's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limiter; in a single-story step the second engineer pairs on parity checks/rollout or pre-pulls the next unblocked story. FE→FE chains stay with one engineer for context.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FE-2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(10–15d)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(6–10d)&lt;br&gt;🟡 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(4–6d)&lt;br&gt;🟡 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(8–12d)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(8–12d)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~51 FE build days with 2 engineers vs ~84 single-engineer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FederatedGqlBreakDown-BE-product.md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