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97D"/>
          <w:sz w:val="40"/>
        </w:rPr>
        <w:t>Federated GraphQL Breakdown — Product Details</w:t>
      </w:r>
    </w:p>
    <w:p>
      <w:pPr>
        <w:spacing w:after="160"/>
      </w:pPr>
      <w:r>
        <w:rPr>
          <w:i/>
          <w:color w:val="444444"/>
          <w:sz w:val="22"/>
        </w:rPr>
        <w:t>Target DGS: plm-product (co-located)  ·  spark-internal-graphql → Netflix DGS Federation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2" w:space="0" w:color="A0B4CF"/>
          <w:left w:val="single" w:sz="2" w:space="0" w:color="A0B4CF"/>
          <w:bottom w:val="single" w:sz="2" w:space="0" w:color="A0B4CF"/>
          <w:right w:val="single" w:sz="2" w:space="0" w:color="A0B4CF"/>
          <w:insideH w:val="single" w:sz="2" w:space="0" w:color="A0B4CF"/>
          <w:insideV w:val="single" w:sz="2" w:space="0" w:color="A0B4CF"/>
        </w:tblBorders>
      </w:tblPr>
      <w:tblGrid>
        <w:gridCol w:w="2564"/>
        <w:gridCol w:w="2564"/>
        <w:gridCol w:w="2564"/>
        <w:gridCol w:w="2564"/>
      </w:tblGrid>
      <w:tr>
        <w:trPr>
          <w:trHeight w:val="64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Total Stories</w:t>
              <w:br/>
            </w:r>
            <w:r>
              <w:rPr>
                <w:b/>
                <w:color w:val="1F497D"/>
                <w:sz w:val="22"/>
              </w:rPr>
              <w:t>13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T-Shirt Size</w:t>
              <w:br/>
            </w:r>
            <w:r>
              <w:rPr>
                <w:b/>
                <w:color w:val="1F497D"/>
                <w:sz w:val="22"/>
              </w:rPr>
              <w:t>M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Complexity</w:t>
              <w:br/>
            </w:r>
            <w:r>
              <w:rPr>
                <w:b/>
                <w:color w:val="1F497D"/>
                <w:sz w:val="22"/>
              </w:rPr>
              <w:t>🔴 0  🟠 1  🟡 7  🟢 5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Phases</w:t>
              <w:br/>
            </w:r>
            <w:r>
              <w:rPr>
                <w:b/>
                <w:color w:val="1F497D"/>
                <w:sz w:val="22"/>
              </w:rPr>
              <w:t>B, C, D, E, F, G</w:t>
            </w:r>
          </w:p>
        </w:tc>
      </w:tr>
    </w:tbl>
    <w:p/>
    <w:p>
      <w:pPr>
        <w:spacing w:after="80"/>
      </w:pPr>
      <w:r>
        <w:rPr>
          <w:b/>
          <w:color w:val="373737"/>
          <w:sz w:val="18"/>
        </w:rPr>
        <w:t xml:space="preserve">Target DGS: </w:t>
      </w:r>
      <w:r>
        <w:rPr>
          <w:rFonts w:ascii="Courier New" w:hAnsi="Courier New"/>
          <w:color w:val="1F497D"/>
          <w:sz w:val="18"/>
        </w:rPr>
        <w:t>plm-product (co-located)</w:t>
      </w:r>
      <w:r>
        <w:rPr>
          <w:color w:val="444444"/>
          <w:sz w:val="18"/>
        </w:rPr>
        <w:t xml:space="preserve">   |   Generated: 2026-07-17</w:t>
      </w:r>
    </w:p>
    <w:p>
      <w:pPr>
        <w:spacing w:after="160"/>
      </w:pPr>
      <w:r>
        <w:rPr>
          <w:i/>
          <w:color w:val="444444"/>
          <w:sz w:val="16"/>
        </w:rPr>
        <w:t>🔷 Query · 🔶 Mutation · 🔸 Field Resolver   🔴 Very High · 🟠 High · 🟡 Medium · 🟢 Low   🔴🔬 spike-gated · 📖 B · 🔍 C · ✏️ D · ⚙️ E · 🔗 F · 🧪 G</w:t>
      </w:r>
    </w:p>
    <w:p>
      <w:pPr>
        <w:spacing w:before="240" w:after="80"/>
      </w:pPr>
      <w:r>
        <w:rPr>
          <w:b/>
          <w:color w:val="1F497D"/>
          <w:sz w:val="28"/>
        </w:rPr>
        <w:t>What Are We Building?</w:t>
      </w:r>
    </w:p>
    <w:p>
      <w:pPr>
        <w:spacing w:after="80"/>
      </w:pPr>
      <w:r>
        <w:rPr>
          <w:color w:val="373737"/>
          <w:sz w:val="20"/>
        </w:rPr>
        <w:t xml:space="preserve">We are moving the </w:t>
      </w:r>
      <w:r>
        <w:rPr>
          <w:b/>
          <w:color w:val="373737"/>
          <w:sz w:val="20"/>
        </w:rPr>
        <w:t>ProductDetails</w:t>
      </w:r>
      <w:r>
        <w:rPr>
          <w:color w:val="373737"/>
          <w:sz w:val="20"/>
        </w:rPr>
        <w:t xml:space="preserve"> domain — the product's "construction" sets (build/assembly detail rows, their attachments, and per-partner access) — off the </w:t>
      </w:r>
      <w:r>
        <w:rPr>
          <w:rFonts w:ascii="Courier New" w:hAnsi="Courier New"/>
          <w:sz w:val="20"/>
        </w:rPr>
        <w:t>spark-internal-graphql</w:t>
      </w:r>
      <w:r>
        <w:rPr>
          <w:color w:val="373737"/>
          <w:sz w:val="20"/>
        </w:rPr>
        <w:t xml:space="preserve"> gateway into the </w:t>
      </w:r>
      <w:r>
        <w:rPr>
          <w:b/>
          <w:color w:val="373737"/>
          <w:sz w:val="20"/>
        </w:rPr>
        <w:t>`plm-product`</w:t>
      </w:r>
      <w:r>
        <w:rPr>
          <w:color w:val="373737"/>
          <w:sz w:val="20"/>
        </w:rPr>
        <w:t xml:space="preserve"> DGS. It is </w:t>
      </w:r>
      <w:r>
        <w:rPr>
          <w:b/>
          <w:color w:val="373737"/>
          <w:sz w:val="20"/>
        </w:rPr>
        <w:t>mid-sized and mid-low risk</w:t>
      </w:r>
      <w:r>
        <w:rPr>
          <w:color w:val="373737"/>
          <w:sz w:val="20"/>
        </w:rPr>
        <w:t xml:space="preserve">: 2 queries, 6 mutations, 12 field resolvers on a 129-line resolver, with </w:t>
      </w:r>
      <w:r>
        <w:rPr>
          <w:b/>
          <w:color w:val="373737"/>
          <w:sz w:val="20"/>
        </w:rPr>
        <w:t>no polymorphism</w:t>
      </w:r>
      <w:r>
        <w:rPr>
          <w:color w:val="373737"/>
          <w:sz w:val="20"/>
        </w:rPr>
        <w:t xml:space="preserve">. (In the backend this domain is called </w:t>
      </w:r>
      <w:r>
        <w:rPr>
          <w:i/>
          <w:color w:val="373737"/>
          <w:sz w:val="20"/>
        </w:rPr>
        <w:t>construction</w:t>
      </w:r>
      <w:r>
        <w:rPr>
          <w:color w:val="373737"/>
          <w:sz w:val="20"/>
        </w:rPr>
        <w:t xml:space="preserve"> — </w:t>
      </w:r>
      <w:r>
        <w:rPr>
          <w:rFonts w:ascii="Courier New" w:hAnsi="Courier New"/>
          <w:sz w:val="20"/>
        </w:rPr>
        <w:t>construction/v1</w:t>
      </w:r>
      <w:r>
        <w:rPr>
          <w:color w:val="373737"/>
          <w:sz w:val="20"/>
        </w:rPr>
        <w:t xml:space="preserve">; the GraphQL names stay </w:t>
      </w:r>
      <w:r>
        <w:rPr>
          <w:rFonts w:ascii="Courier New" w:hAnsi="Courier New"/>
          <w:sz w:val="20"/>
        </w:rPr>
        <w:t>productDetails</w:t>
      </w:r>
      <w:r>
        <w:rPr>
          <w:color w:val="373737"/>
          <w:sz w:val="20"/>
        </w:rPr>
        <w:t>.)</w:t>
      </w:r>
    </w:p>
    <w:p>
      <w:pPr>
        <w:spacing w:after="80"/>
      </w:pPr>
      <w:r>
        <w:rPr>
          <w:color w:val="373737"/>
          <w:sz w:val="20"/>
        </w:rPr>
        <w:t xml:space="preserve">The one genuinely harder piece is </w:t>
      </w:r>
      <w:r>
        <w:rPr>
          <w:b/>
          <w:color w:val="373737"/>
          <w:sz w:val="20"/>
        </w:rPr>
        <w:t>`updateProductDetailsSet`</w:t>
      </w:r>
      <w:r>
        <w:rPr>
          <w:color w:val="373737"/>
          <w:sz w:val="20"/>
        </w:rPr>
        <w:t>, a multi-step write — workspace associations, then bulk-archive removed attachments, then the body — with no rollback today.</w:t>
      </w:r>
    </w:p>
    <w:p>
      <w:pPr>
        <w:spacing w:after="80"/>
      </w:pPr>
      <w:r>
        <w:rPr>
          <w:b/>
          <w:color w:val="373737"/>
          <w:sz w:val="20"/>
        </w:rPr>
        <w:t>ACL note:</w:t>
      </w:r>
      <w:r>
        <w:rPr>
          <w:color w:val="373737"/>
          <w:sz w:val="20"/>
        </w:rPr>
        <w:t xml:space="preserve"> the current code obtains per-resource capability tokens via ACL; Per the program-level working decision, </w:t>
      </w:r>
      <w:r>
        <w:rPr>
          <w:b/>
          <w:color w:val="373737"/>
          <w:sz w:val="20"/>
        </w:rPr>
        <w:t>the DGS layer carries no ACL plumbing story</w:t>
      </w:r>
      <w:r>
        <w:rPr>
          <w:color w:val="373737"/>
          <w:sz w:val="20"/>
        </w:rPr>
        <w:t xml:space="preserve"> — each domain service performs its own access control; scenario ADRs (</w:t>
      </w:r>
      <w:r>
        <w:rPr>
          <w:rFonts w:ascii="Courier New" w:hAnsi="Courier New"/>
          <w:sz w:val="20"/>
        </w:rPr>
        <w:t>complexStories/*/02-adr-noacl-*.md</w:t>
      </w:r>
      <w:r>
        <w:rPr>
          <w:color w:val="373737"/>
          <w:sz w:val="20"/>
        </w:rPr>
        <w:t>) record the assumption's impact and ratify with the global decision. ACL is noted in stories for context only.</w:t>
      </w:r>
    </w:p>
    <w:p>
      <w:pPr>
        <w:spacing w:before="240" w:after="80"/>
      </w:pPr>
      <w:r>
        <w:rPr>
          <w:b/>
          <w:color w:val="1F497D"/>
          <w:sz w:val="28"/>
        </w:rPr>
        <w:t>Migration Scope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Surface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Count</w:t>
            </w:r>
          </w:p>
        </w:tc>
        <w:tc>
          <w:tcPr>
            <w:shd w:val="clear" w:color="auto" w:fill="DAE8FC"/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Queries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one by-ids (internal), one elastic (🔴 search)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5 simple + </w:t>
            </w:r>
            <w:r>
              <w:rPr>
                <w:rFonts w:ascii="Courier New" w:hAnsi="Courier New"/>
                <w:sz w:val="18"/>
              </w:rPr>
              <w:t>updateProductDetailsSet</w:t>
            </w:r>
            <w:r>
              <w:rPr>
                <w:color w:val="373737"/>
                <w:sz w:val="18"/>
              </w:rPr>
              <w:t xml:space="preserve"> (multi-step)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Field-resolver type blocks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ProductDetails</w:t>
            </w:r>
            <w:r>
              <w:rPr>
                <w:color w:val="373737"/>
                <w:sz w:val="18"/>
              </w:rPr>
              <w:t xml:space="preserve"> (10), item (2), category (1)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 dependencies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 keys (2 🔴 · 2 🟡 · 2 🔵)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search/attachment 🔴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(Product)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internal</w:t>
            </w:r>
            <w:r>
              <w:rPr>
                <w:color w:val="373737"/>
                <w:sz w:val="18"/>
              </w:rPr>
              <w:t xml:space="preserve"> (co-located)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stories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13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green-field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Spikes &amp; Complex Cases</w:t>
      </w:r>
    </w:p>
    <w:p>
      <w:pPr>
        <w:spacing w:after="60"/>
      </w:pPr>
      <w:r>
        <w:rPr>
          <w:i/>
          <w:color w:val="444444"/>
          <w:sz w:val="18"/>
        </w:rPr>
        <w:t>This domain's complex, cross-cutting problems are tracked once as program spikes in the global breakdown — see 'Phase 0 — Program Spikes' and 'Spike Detail' (the brief, the decision, intended cross-domain steps, and every affected resolver's external deps + current logic) in Federated+Graphql+Stories+-+BreakDown. Nothing from there is repeated here; the stories below just link to it. Follow a story's SPIKE-0x id to the global Spike Detail for the target flow + the external services each resolver calls (see 'How to read the spikes &amp; related stories' in the global doc).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6623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Program spike</w:t>
            </w:r>
          </w:p>
        </w:tc>
        <w:tc>
          <w:tcPr>
            <w:shd w:val="clear" w:color="auto" w:fill="DAE8FC"/>
            <w:vAlign w:val="top"/>
            <w:tcW w:w="345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Bucket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PDTL-BE-E-01 — updateProductDetailsSet (multi-step write)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SPIKE-01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Non-Atomic Write Saga</w:t>
            </w:r>
          </w:p>
        </w:tc>
      </w:tr>
    </w:tbl>
    <w:p/>
    <w:p>
      <w:pPr>
        <w:spacing w:after="120"/>
      </w:pPr>
      <w:r>
        <w:rPr>
          <w:i/>
          <w:color w:val="444444"/>
          <w:sz w:val="18"/>
        </w:rPr>
        <w:t>Simple, intuitive decisions (drift-op cleanup, dead-method audits, auth-token parity, sort/DTO shape) are resolved inline in the owning story — they are not spikes.</w:t>
      </w:r>
    </w:p>
    <w:p>
      <w:pPr>
        <w:spacing w:before="240" w:after="80"/>
      </w:pPr>
      <w:r>
        <w:rPr>
          <w:b/>
          <w:color w:val="1F497D"/>
          <w:sz w:val="28"/>
        </w:rPr>
        <w:t>Effort Snapshot by Phase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Phase</w:t>
            </w:r>
          </w:p>
        </w:tc>
        <w:tc>
          <w:tcPr>
            <w:shd w:val="clear" w:color="auto" w:fill="DAE8FC"/>
            <w:vAlign w:val="top"/>
            <w:tcW w:w="43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Name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 (est., +20%)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Core Reads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1–2d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2–4d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 (simple)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7–12d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(</w:t>
            </w:r>
            <w:r>
              <w:rPr>
                <w:rFonts w:ascii="Courier New" w:hAnsi="Courier New"/>
                <w:sz w:val="18"/>
              </w:rPr>
              <w:t>updateProductDetailsSet</w:t>
            </w:r>
            <w:r>
              <w:rPr>
                <w:color w:val="373737"/>
                <w:sz w:val="18"/>
              </w:rPr>
              <w:t>)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4–7d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(Product, internal)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1–2d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 &amp; Tests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9–15d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13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24–42d</w:t>
            </w:r>
            <w:r>
              <w:rPr>
                <w:color w:val="373737"/>
                <w:sz w:val="18"/>
              </w:rPr>
              <w:t xml:space="preserve"> (buffered)</w:t>
            </w:r>
          </w:p>
        </w:tc>
      </w:tr>
    </w:tbl>
    <w:p/>
    <w:p>
      <w:r>
        <w:rPr>
          <w:sz w:val="18"/>
        </w:rPr>
        <w:t xml:space="preserve">ℹ️  </w:t>
      </w:r>
      <w:r>
        <w:rPr>
          <w:color w:val="444444"/>
          <w:sz w:val="18"/>
        </w:rPr>
        <w:t xml:space="preserve">One engineer ≈ </w:t>
      </w:r>
      <w:r>
        <w:rPr>
          <w:b/>
          <w:color w:val="444444"/>
          <w:sz w:val="18"/>
        </w:rPr>
        <w:t>5–9 sprints</w:t>
      </w:r>
      <w:r>
        <w:rPr>
          <w:color w:val="444444"/>
          <w:sz w:val="18"/>
        </w:rPr>
        <w:t>.</w:t>
      </w:r>
    </w:p>
    <w:p>
      <w:pPr>
        <w:spacing w:before="240" w:after="80"/>
      </w:pPr>
      <w:r>
        <w:rPr>
          <w:b/>
          <w:color w:val="373737"/>
          <w:sz w:val="24"/>
        </w:rPr>
        <w:t>Capacity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size</w:t>
            </w:r>
          </w:p>
        </w:tc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Calendar</w:t>
            </w:r>
          </w:p>
        </w:tc>
        <w:tc>
          <w:tcPr>
            <w:shd w:val="clear" w:color="auto" w:fill="DAE8FC"/>
            <w:vAlign w:val="top"/>
            <w:tcW w:w="57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engineer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~6–11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sequential</w:t>
            </w:r>
          </w:p>
        </w:tc>
      </w:tr>
      <w:tr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engineers</w:t>
            </w:r>
          </w:p>
        </w:tc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~4–6 sprints</w:t>
            </w:r>
          </w:p>
        </w:tc>
        <w:tc>
          <w:tcPr>
            <w:shd w:val="clear" w:color="auto" w:fill="F5F8FF"/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+ mutations parallel after B-01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Sprint Sequencing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129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Sprint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79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B-01 (DGS module init + service wiring + first resolver)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schema, service port, reads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D-01–D-05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simple mutations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E-01 + F-01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multi-step write + Product field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G-01–G-03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G-04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tests &amp; parity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Derived from each story's </w:t>
      </w:r>
      <w:r>
        <w:rPr>
          <w:rFonts w:ascii="Courier New" w:hAnsi="Courier New"/>
          <w:sz w:val="18"/>
        </w:rPr>
        <w:t>Depends On</w:t>
      </w:r>
      <w:r>
        <w:rPr>
          <w:color w:val="444444"/>
          <w:sz w:val="18"/>
        </w:rPr>
        <w:t xml:space="preserve"> edges (plus the module-init scaffold as the implicit first step). A story appears in the earliest step where everything it depends on is already done; </w:t>
      </w:r>
      <w:r>
        <w:rPr>
          <w:b/>
          <w:color w:val="444444"/>
          <w:sz w:val="18"/>
        </w:rPr>
        <w:t>stories in the same step are independent of each other and parallelize across engineers</w:t>
      </w:r>
      <w:r>
        <w:rPr>
          <w:color w:val="444444"/>
          <w:sz w:val="18"/>
        </w:rPr>
        <w:t xml:space="preserve">. </w:t>
      </w:r>
      <w:r>
        <w:rPr>
          <w:b/>
          <w:color w:val="444444"/>
          <w:sz w:val="18"/>
        </w:rPr>
        <w:t>Focus</w:t>
      </w:r>
      <w:r>
        <w:rPr>
          <w:color w:val="444444"/>
          <w:sz w:val="18"/>
        </w:rPr>
        <w:t xml:space="preserve"> names the phase category each step advances — same convention as the frontend order map.</w:t>
      </w:r>
    </w:p>
    <w:p>
      <w:pPr>
        <w:spacing w:after="40"/>
      </w:pPr>
      <w:r>
        <w:rPr>
          <w:color w:val="444444"/>
          <w:sz w:val="18"/>
        </w:rPr>
        <w:t xml:space="preserve">🔬 spike gates and ⛔ cross-subgraph blocks are </w:t>
      </w:r>
      <w:r>
        <w:rPr>
          <w:i/>
          <w:color w:val="444444"/>
          <w:sz w:val="18"/>
        </w:rPr>
        <w:t>entry criteria</w:t>
      </w:r>
      <w:r>
        <w:rPr>
          <w:color w:val="444444"/>
          <w:sz w:val="18"/>
        </w:rPr>
        <w:t>, not ordering edges — a gated story slides later without reshuffling the map.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Entry gates in this 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🧱 Module init — schema skeleton, service wiring (unblocks everything)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G-03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→ 🔬 SPIKE-01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Fan-out — 🔍 Search &amp; Listing · ✏️ Mutations · ⚙️ Complex Operations · 🔗 Federation &amp; Stitching · 🧪 Field Resolvers &amp; Tests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G-04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🧪 Field Resolvers &amp; Tests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Critical path: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E-01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G-04</w:t>
      </w:r>
      <w:r>
        <w:rPr>
          <w:color w:val="373737"/>
          <w:sz w:val="19"/>
        </w:rPr>
        <w:t xml:space="preserve"> — 3 sequential stories; everything else hangs off this chain in parallel.</w:t>
      </w:r>
    </w:p>
    <w:p>
      <w:pPr>
        <w:spacing w:before="240" w:after="80"/>
      </w:pPr>
      <w:r>
        <w:rPr>
          <w:b/>
          <w:color w:val="1F497D"/>
          <w:sz w:val="28"/>
        </w:rPr>
        <w:t>Recommended Story Graph — 2 Backend Engineers</w:t>
      </w:r>
    </w:p>
    <w:p>
      <w:pPr>
        <w:spacing w:after="40"/>
      </w:pPr>
      <w:r>
        <w:rPr>
          <w:color w:val="444444"/>
          <w:sz w:val="18"/>
        </w:rPr>
        <w:t xml:space="preserve">The order map above assumes unlimited parallelism; this packs the </w:t>
      </w:r>
      <w:r>
        <w:rPr>
          <w:b/>
          <w:color w:val="444444"/>
          <w:sz w:val="18"/>
        </w:rPr>
        <w:t>same dependency graph onto 2 backend engineers</w:t>
      </w:r>
      <w:r>
        <w:rPr>
          <w:color w:val="444444"/>
          <w:sz w:val="18"/>
        </w:rPr>
        <w:t xml:space="preserve"> (greedy critical-chain scheduling, nominal day-ranges from complexity — confirm in refinement). Read each column top-to-bottom as one engineer's queue; ⏳ marks a slot that waits on a dependency, 🔬/⛔ are entry gates that slide a slot without reshuffling the lanes.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Slot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BE-1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BE-2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⏳ after </w:t>
            </w: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→ 🟡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(4–7d) 🔬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G-04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BE-1: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E-01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D-05</w:t>
      </w:r>
      <w:r>
        <w:rPr>
          <w:color w:val="373737"/>
          <w:sz w:val="19"/>
        </w:rPr>
        <w:t>&lt;br&gt;</w:t>
      </w:r>
      <w:r>
        <w:rPr>
          <w:b/>
          <w:color w:val="373737"/>
          <w:sz w:val="19"/>
        </w:rPr>
        <w:t>BE-2: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G-01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F-01</w:t>
      </w:r>
    </w:p>
    <w:p>
      <w:pPr>
        <w:spacing w:after="60"/>
      </w:pPr>
      <w:r>
        <w:rPr>
          <w:b/>
          <w:color w:val="373737"/>
          <w:sz w:val="19"/>
        </w:rPr>
        <w:t>Elapsed (nominal midpoints):</w:t>
      </w:r>
      <w:r>
        <w:rPr>
          <w:color w:val="373737"/>
          <w:sz w:val="19"/>
        </w:rPr>
        <w:t xml:space="preserve"> ~18 working days with 2 engineers vs ~34 days sequential.</w:t>
      </w:r>
    </w:p>
    <w:p>
      <w:pPr>
        <w:spacing w:before="240" w:after="80"/>
      </w:pPr>
      <w:r>
        <w:rPr>
          <w:b/>
          <w:color w:val="1F497D"/>
          <w:sz w:val="28"/>
        </w:rPr>
        <w:t>Jira Stories by Phase</w:t>
      </w:r>
    </w:p>
    <w:p>
      <w:pPr>
        <w:spacing w:after="120"/>
      </w:pPr>
      <w:r>
        <w:rPr>
          <w:i/>
          <w:color w:val="444444"/>
          <w:sz w:val="18"/>
        </w:rPr>
        <w:t>Each row is one Jira story. Complexity drives T-shirt sizing in refinement. 'Depends On' lists blocking story IDs within this domain.</w:t>
      </w:r>
    </w:p>
    <w:p>
      <w:pPr>
        <w:spacing w:before="200" w:after="60"/>
        <w:shd w:val="clear" w:color="auto" w:fill="D6E4F0"/>
      </w:pPr>
      <w:r>
        <w:rPr>
          <w:b/>
          <w:color w:val="1F3864"/>
          <w:sz w:val="22"/>
        </w:rPr>
        <w:t>📖 Phase B — Core Reads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PDTL-BE-B-01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getProductDetailsById(ids)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Fetch product-detail (construction) sets by id.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for ids → GET construction/v1?ids={csv} → camelCase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list for ids; empty → []</w:t>
            </w:r>
          </w:p>
        </w:tc>
      </w:tr>
    </w:tbl>
    <w:p/>
    <w:p>
      <w:pPr>
        <w:spacing w:after="40"/>
        <w:ind w:left="216"/>
      </w:pPr>
      <w:r>
        <w:rPr>
          <w:sz w:val="18"/>
        </w:rPr>
        <w:t xml:space="preserve">ℹ️  </w:t>
      </w:r>
      <w:r>
        <w:rPr>
          <w:color w:val="444444"/>
          <w:sz w:val="17"/>
        </w:rPr>
        <w:t xml:space="preserve">PDTL-BE-B-01: </w:t>
      </w:r>
      <w:r>
        <w:rPr>
          <w:b/>
          <w:color w:val="444444"/>
          <w:sz w:val="17"/>
        </w:rPr>
        <w:t>Note — DGS Module Init (this PR only):</w:t>
      </w:r>
      <w:r>
        <w:rPr>
          <w:color w:val="444444"/>
          <w:sz w:val="17"/>
        </w:rPr>
        <w:t xml:space="preserve"> Creates </w:t>
      </w:r>
      <w:r>
        <w:rPr>
          <w:rFonts w:ascii="Courier New" w:hAnsi="Courier New"/>
          <w:sz w:val="17"/>
        </w:rPr>
        <w:t>productDetails.graphqls</w:t>
      </w:r>
      <w:r>
        <w:rPr>
          <w:color w:val="444444"/>
          <w:sz w:val="17"/>
        </w:rPr>
        <w:t xml:space="preserve"> (federation v2.3 header, scalars, owned types with </w:t>
      </w:r>
      <w:r>
        <w:rPr>
          <w:rFonts w:ascii="Courier New" w:hAnsi="Courier New"/>
          <w:sz w:val="17"/>
        </w:rPr>
        <w:t>@key</w:t>
      </w:r>
      <w:r>
        <w:rPr>
          <w:color w:val="444444"/>
          <w:sz w:val="17"/>
        </w:rPr>
        <w:t xml:space="preserve">, external stubs), registers scalars in </w:t>
      </w:r>
      <w:r>
        <w:rPr>
          <w:rFonts w:ascii="Courier New" w:hAnsi="Courier New"/>
          <w:sz w:val="17"/>
        </w:rPr>
        <w:t>ScalarConfig.kt</w:t>
      </w:r>
      <w:r>
        <w:rPr>
          <w:color w:val="444444"/>
          <w:sz w:val="17"/>
        </w:rPr>
        <w:t>, and wires the service and Feign client. Full type list: [be-03-schema.graphql](./be-03-schema.graphql).</w:t>
      </w:r>
    </w:p>
    <w:p/>
    <w:p>
      <w:pPr>
        <w:spacing w:before="200" w:after="60"/>
        <w:shd w:val="clear" w:color="auto" w:fill="D6EDDA"/>
      </w:pPr>
      <w:r>
        <w:rPr>
          <w:b/>
          <w:color w:val="1A4731"/>
          <w:sz w:val="22"/>
        </w:rPr>
        <w:t>🔍 Phase C — Search &amp; Listing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PDTL-BE-C-01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getProductDetailsElastic(resourceId)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Search a product's product-detail sets via elastic.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(search) search.getProductDetailsElastic → paged. - EXT: search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parentId:</w:t>
            </w:r>
            <w:r>
              <w:rPr>
                <w:color w:val="373737"/>
                <w:sz w:val="17"/>
              </w:rPr>
              <w:t xml:space="preserve"> elastic query built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paged shape returned</w:t>
            </w:r>
          </w:p>
        </w:tc>
      </w:tr>
    </w:tbl>
    <w:p/>
    <w:p>
      <w:pPr>
        <w:spacing w:before="200" w:after="60"/>
        <w:shd w:val="clear" w:color="auto" w:fill="FFF3CD"/>
      </w:pPr>
      <w:r>
        <w:rPr>
          <w:b/>
          <w:color w:val="7D5002"/>
          <w:sz w:val="22"/>
        </w:rPr>
        <w:t>✏️ Phase D — Mutations  (5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PDTL-BE-D-01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createProductDetailsSet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 a product-detail set.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for literal capability → POST construction/v1 (snake_case). If response has validationErrors or message → throw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creates set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validation error → exception (not a partial object)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PDTL-BE-D-02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updateProductDetailAccess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Change who can access a product-detail set.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map managePermissionsRequest[].resourceId → token → PUT construction/v1/manage-permissions (primeKey=humanId)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updates partner access for each resource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PDTL-BE-D-03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productDetailLockUnlock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Lock or unlock a product-detail set.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for [constructionSetId] → PUT construction/v1/{id}/{lock\|unlock}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isLock=true</w:t>
            </w:r>
            <w:r>
              <w:rPr>
                <w:color w:val="373737"/>
                <w:sz w:val="17"/>
              </w:rPr>
              <w:t>→lock path, false→unlock path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PDTL-BE-D-04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cloneFilesForProductDetails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Copy attachment files for product details.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Promise.all(attachmentIds.map((id,i) =&gt; (attachment) cloneAttachmentV3({cloneReferences:[cloneReference[i]]}, id))), stamp parentResource=id, flatten. No…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clones each id with its paired cloneReference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parentResource</w:t>
            </w:r>
            <w:r>
              <w:rPr>
                <w:color w:val="373737"/>
                <w:sz w:val="17"/>
              </w:rPr>
              <w:t xml:space="preserve"> stamped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PDTL-BE-D-05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updateProductDetailComponentStatus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 component status on product-detail sets.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construction/v1/component_status_update; wraps result as {content}. No JWT — confirm backend-enforced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updates statuses; result wrapped as </w:t>
            </w:r>
            <w:r>
              <w:rPr>
                <w:rFonts w:ascii="Courier New" w:hAnsi="Courier New"/>
                <w:sz w:val="17"/>
              </w:rPr>
              <w:t>{content}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no-token behaviour documented</w:t>
            </w:r>
          </w:p>
        </w:tc>
      </w:tr>
    </w:tbl>
    <w:p/>
    <w:p>
      <w:pPr>
        <w:spacing w:before="200" w:after="60"/>
        <w:shd w:val="clear" w:color="auto" w:fill="FFE0CC"/>
      </w:pPr>
      <w:r>
        <w:rPr>
          <w:b/>
          <w:color w:val="7A2104"/>
          <w:sz w:val="22"/>
        </w:rPr>
        <w:t>⚙️ Phase E — Complex Operations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PDTL-BE-E-01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updateProductDetailsSet</w:t>
            </w:r>
            <w:r>
              <w:rPr>
                <w:color w:val="373737"/>
                <w:sz w:val="17"/>
              </w:rPr>
              <w:t xml:space="preserve"> (multi-step write)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SPIKE-01 (Non-Atomic Write Saga)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attachment, workspaceV2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SPIKE-01, B-01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Edit a product-detail set — a multi-step write (workspace + body) with no rollback today.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if workspaceContext.{add,remove}Workspaces non-empty → workspaceAssociationHelper(PRODUCT_DETAIL, id, add, remove) (throws on error); 2) null workspaceContext; 3) if…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all 4 steps in order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partial-failure strategy implemented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workspace assoc throws propagate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full path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workspace-only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attachment-archive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partial-failure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</w:tbl>
    <w:p/>
    <w:p>
      <w:pPr>
        <w:spacing w:before="200" w:after="60"/>
        <w:shd w:val="clear" w:color="auto" w:fill="EDE0F8"/>
      </w:pPr>
      <w:r>
        <w:rPr>
          <w:b/>
          <w:color w:val="4A0F7A"/>
          <w:sz w:val="22"/>
        </w:rPr>
        <w:t>🔗 Phase F — Federation &amp; Stitching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PDTL-BE-F-01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Product.productDetails</w:t>
            </w:r>
            <w:r>
              <w:rPr>
                <w:color w:val="373737"/>
                <w:sz w:val="17"/>
              </w:rPr>
              <w:t xml:space="preserve"> (internal, same subgraph)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Expose a product's product-details on the Product type (same subgraph).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Product exposes productDetails resolved from the co-located ProductDetails service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Product.productDetails</w:t>
            </w:r>
            <w:r>
              <w:rPr>
                <w:color w:val="373737"/>
                <w:sz w:val="17"/>
              </w:rPr>
              <w:t xml:space="preserve"> resolves in-process; no gateway hop</w:t>
            </w:r>
          </w:p>
        </w:tc>
      </w:tr>
    </w:tbl>
    <w:p/>
    <w:p>
      <w:pPr>
        <w:spacing w:before="200" w:after="60"/>
        <w:shd w:val="clear" w:color="auto" w:fill="D4EFDF"/>
      </w:pPr>
      <w:r>
        <w:rPr>
          <w:b/>
          <w:color w:val="0A4023"/>
          <w:sz w:val="22"/>
        </w:rPr>
        <w:t>🧪 Phase G — Field Resolvers &amp; Tests  (4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PDTL-BE-G-01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access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currentUserPermissions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participantDetails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userGroup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access / permission / participant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access → accessControl.getPermissions([humanId\|\|id])[0]; currentUserPermissions → getUserAccessUnencoded(humanId\|\|id)[0]; participantDetails → getUserGroup(humanId)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field resolves; null-safe on empty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PDTL-BE-G-02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createdBy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updatedBy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businessPartners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workspaces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userAttributes, workspaceV2, vmm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product, people, partner and workspace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product (internal, only if parentId starts 'PID'), createdBy/updatedBy (user-profile), businessPartners (vmm loadBpsWithType), workspaces (workspaceV2 by ids)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each resolves; </w:t>
            </w: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 null when </w:t>
            </w:r>
            <w:r>
              <w:rPr>
                <w:rFonts w:ascii="Courier New" w:hAnsi="Courier New"/>
                <w:sz w:val="17"/>
              </w:rPr>
              <w:t>parentId</w:t>
            </w:r>
            <w:r>
              <w:rPr>
                <w:color w:val="373737"/>
                <w:sz w:val="17"/>
              </w:rPr>
              <w:t xml:space="preserve"> not </w:t>
            </w:r>
            <w:r>
              <w:rPr>
                <w:rFonts w:ascii="Courier New" w:hAnsi="Courier New"/>
                <w:sz w:val="17"/>
              </w:rPr>
              <w:t>PID*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null id → null user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PDTL-BE-G-03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attachment</w:t>
            </w:r>
            <w:r>
              <w:rPr>
                <w:color w:val="373737"/>
                <w:sz w:val="17"/>
              </w:rPr>
              <w:t xml:space="preserve"> + item </w:t>
            </w:r>
            <w:r>
              <w:rPr>
                <w:rFonts w:ascii="Courier New" w:hAnsi="Courier New"/>
                <w:sz w:val="17"/>
              </w:rPr>
              <w:t>attachment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constructionSetAttachments</w:t>
            </w:r>
            <w:r>
              <w:rPr>
                <w:color w:val="373737"/>
                <w:sz w:val="17"/>
              </w:rPr>
              <w:t xml:space="preserve"> + category </w:t>
            </w:r>
            <w:r>
              <w:rPr>
                <w:rFonts w:ascii="Courier New" w:hAnsi="Courier New"/>
                <w:sz w:val="17"/>
              </w:rPr>
              <w:t>subCategories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attachment and category fields on product details.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ProductDetails.attachment → (search) searchAttachments([humanId\|\|id]), find - relatedResources.length&lt;=2; ProductDetailsItem.attachment →…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field resolves to the right source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attachment</w:t>
            </w:r>
            <w:r>
              <w:rPr>
                <w:color w:val="373737"/>
                <w:sz w:val="17"/>
              </w:rPr>
              <w:t xml:space="preserve"> length-≤2 filter preserved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📄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PDTL-BE-G-04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Tests, parity harness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Tests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B-01, E-01, G-01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Prove the product-details subgraph matches the old gateway.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≥80% unit coverage; parity fixtures (incl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unit ≥80%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fixtures green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schema-diff intentional-only</w:t>
            </w:r>
          </w:p>
        </w:tc>
      </w:tr>
    </w:tbl>
    <w:p/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