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BOM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4 High · 🟡 1 Medium · 🟢 2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29–46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 operation-to-root-field rows · 4 client files · 7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BOM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Statically expand BOM fragment factories (pre-cutover)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Refactor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getBomByParentId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getBomComponentStatus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search and elastic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getBomElastic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searchMaterialsBom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master-data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getBomPackagingSubstrates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getBomPackagingUnitOfMeasure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supplier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getComboSupplierForBom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getValidTrimSuppliersForBom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getValidRawMaterialSuppliersForBom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BOM mutations including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updateBomComponentStatus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Adopt BOM </w:t>
            </w:r>
            <w:r>
              <w:rPr>
                <w:rFonts w:ascii="Courier New" w:hAnsi="Courier New"/>
                <w:sz w:val="18"/>
              </w:rPr>
              <w:t>supplier</w:t>
            </w:r>
            <w:r>
              <w:rPr>
                <w:color w:val="373737"/>
                <w:sz w:val="18"/>
              </w:rPr>
              <w:t xml:space="preserve"> entity references (optional, PO-gated)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enhancement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getBomByParentId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searchMaterialsBom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BOM-BE-G-17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Frontend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packed onto </w:t>
      </w:r>
      <w:r>
        <w:rPr>
          <w:b/>
          <w:color w:val="444444"/>
          <w:sz w:val="18"/>
        </w:rPr>
        <w:t>two frontend engineers</w:t>
      </w:r>
      <w:r>
        <w:rPr>
          <w:color w:val="444444"/>
          <w:sz w:val="18"/>
        </w:rPr>
        <w:t xml:space="preserve">. Lanes re-sync at each step because the step's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limiter; in a single-story step the second engineer pairs on parity checks/rollout or pre-pulls the next unblocked story. FE→FE chains stay with one engineer for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FE-2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(3–4d)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(6–10d)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(8–12d)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~24 FE build days with 2 engineers vs ~38 single-engineer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FederatedGqlBreakDown-BE-bom.md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