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Federated GraphQL Breakdown — Measurement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320"/>
        <w:gridCol w:w="4320"/>
      </w:tblGrid>
      <w:tr>
        <w:trPr>
          <w:trHeight w:val="360" w:hRule="atLeast"/>
        </w:trPr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(co-located)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0 High · 🟡 3 Medium · 🟢 1 Low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12–19 days (single-engineer)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 operation-to-root-field rows · 4 client files · 7 components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2026-07-17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Measurement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(co-located)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measurement reads and retire </w:t>
            </w:r>
            <w:r>
              <w:rPr>
                <w:rFonts w:ascii="Courier New" w:hAnsi="Courier New"/>
                <w:sz w:val="18"/>
              </w:rPr>
              <w:t>humanId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MST-BE-B-02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getMeasurementByIds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getMeasurementSetStatus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getMeasurementComponentStatus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measurement list/search reads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MST-BE-C-01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MST-BE-C-02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getMeasurements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getMeasurementsElastic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measurement master-data reads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MST-BE-B-02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getUnitsOfMeasure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getThicknessUnitsOfMeasure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measurement mutations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MST-BE-D-02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MST-BE-D-07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lockMeasurementSet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unlockMeasurementSet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putSampleMeasurementSet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deleteSampleMeasurementSet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MST-FE-003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MST-BE-B-01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MST-BE-B-02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MST-FE-003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MST-BE-B-02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MST-BE-C-01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MST-BE-C-02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MST-FE-004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MST-FE-004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MST-BE-D-02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MST-BE-D-07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MST-FE-001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MST-FE-003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MST-FE-002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MST-FE-004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2 Frontend Engineers</w:t>
      </w:r>
    </w:p>
    <w:p>
      <w:pPr>
        <w:spacing w:after="40"/>
      </w:pPr>
      <w:r>
        <w:rPr>
          <w:color w:val="444444"/>
          <w:sz w:val="18"/>
        </w:rPr>
        <w:t xml:space="preserve">The order map above packed onto </w:t>
      </w:r>
      <w:r>
        <w:rPr>
          <w:b/>
          <w:color w:val="444444"/>
          <w:sz w:val="18"/>
        </w:rPr>
        <w:t>two frontend engineers</w:t>
      </w:r>
      <w:r>
        <w:rPr>
          <w:color w:val="444444"/>
          <w:sz w:val="18"/>
        </w:rPr>
        <w:t xml:space="preserve">. Lanes re-sync at each step because the step's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limiter; in a single-story step the second engineer pairs on parity checks/rollout or pre-pulls the next unblocked story. FE→FE chains stay with one engineer for context.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FE-2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MST-FE-001</w:t>
            </w:r>
            <w:r>
              <w:rPr>
                <w:color w:val="373737"/>
                <w:sz w:val="18"/>
              </w:rPr>
              <w:t xml:space="preserve"> (4–6d)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MST-FE-003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MST-FE-002</w:t>
            </w:r>
            <w:r>
              <w:rPr>
                <w:color w:val="373737"/>
                <w:sz w:val="18"/>
              </w:rPr>
              <w:t xml:space="preserve"> (3–5d)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MST-FE-004</w:t>
            </w:r>
            <w:r>
              <w:rPr>
                <w:color w:val="373737"/>
                <w:sz w:val="18"/>
              </w:rPr>
              <w:t xml:space="preserve"> (4–6d)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~14 FE build days with 2 engineers vs ~16 single-engineer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FederatedGqlBreakDown-BE-measurement.md — the backend breakdown this cutover follows.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