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9 Medium · 🟢 0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66–102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in product-queries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shared-library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consumers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getProductVersions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list and bulk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status and workspace-context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template library and categories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rollups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Verify fragment type-conditions, </w:t>
            </w:r>
            <w:r>
              <w:rPr>
                <w:rFonts w:ascii="Courier New" w:hAnsi="Courier New"/>
                <w:sz w:val="18"/>
              </w:rPr>
              <w:t>__typename</w:t>
            </w:r>
            <w:r>
              <w:rPr>
                <w:color w:val="373737"/>
                <w:sz w:val="18"/>
              </w:rPr>
              <w:t xml:space="preserve"> logic and cache keys against federated type names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Verification / refactor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cross-cutting (no single operation)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(+3)&lt;br&gt;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(10–15d)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(6–10d)&lt;br&gt;🟡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(8–12d)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(8–12d)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~51 FE build days with 2 engineers vs ~84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FederatedGqlBreakDown-BE-product.md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