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2026-07-24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PRODUCT-BE-B-10 — getProductDeptRules(productIds, departmentIds, activeOnly)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SPIKE-07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Rules API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PRODUCT-BE-B-11 — getProductBPRules(productIds, businessPartnerIds, activeOnly)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SPIKE-07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Rules API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PRODUCT-BE-C-05 — searchProductRules(...)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SPIKE-07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Rules API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PRODUCT-BE-E-00 — WriteSaga shared module (Sprint 0, critical path)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28–55d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35–60d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52–97d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166–314d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E-00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module, Sprint-0 critical path) + 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G-13–G-14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(Kotlin). Test coverage/parity/load/cut-over rehearsal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H-01–H-06, 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SPIKE-07 (Product Rules API Ownership)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SPIKE-07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Scope reconfirmed against </w:t>
            </w:r>
            <w:r>
              <w:rPr>
                <w:rFonts w:ascii="Courier New" w:hAnsi="Courier New"/>
                <w:sz w:val="17"/>
              </w:rPr>
              <w:t>S-04</w:t>
            </w:r>
            <w:r>
              <w:rPr>
                <w:color w:val="373737"/>
                <w:sz w:val="17"/>
              </w:rPr>
              <w:t>'s decision before implementation starts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SPIKE-07 (Product Rules API Ownership)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SPIKE-07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Scope reconfirmed against </w:t>
            </w:r>
            <w:r>
              <w:rPr>
                <w:rFonts w:ascii="Courier New" w:hAnsi="Courier New"/>
                <w:sz w:val="17"/>
              </w:rPr>
              <w:t>S-04</w:t>
            </w:r>
            <w:r>
              <w:rPr>
                <w:color w:val="373737"/>
                <w:sz w:val="17"/>
              </w:rPr>
              <w:t>'s decision before implementation starts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SPIKE-07 (Product Rules API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SPIKE-07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Scope reconfirmed against </w:t>
            </w:r>
            <w:r>
              <w:rPr>
                <w:rFonts w:ascii="Courier New" w:hAnsi="Courier New"/>
                <w:sz w:val="17"/>
              </w:rPr>
              <w:t>S-04</w:t>
            </w:r>
            <w:r>
              <w:rPr>
                <w:color w:val="373737"/>
                <w:sz w:val="17"/>
              </w:rPr>
              <w:t>'s decision before implementation starts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the shared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module, </w:t>
            </w:r>
            <w:r>
              <w:rPr>
                <w:rFonts w:ascii="Courier New" w:hAnsi="Courier New"/>
                <w:sz w:val="17"/>
              </w:rPr>
              <w:t>PRODUCT-BE-E-00</w:t>
            </w:r>
            <w:r>
              <w:rPr>
                <w:color w:val="373737"/>
                <w:sz w:val="17"/>
              </w:rPr>
              <w:t>, per ADR-011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archiving applied via the shared association component (no bespoke fan-out code)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shared module (Sprint 0, critical path)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"ordered steps + per-step failure policy" mechanism every multi-step write in the program will use, instead of nine domains each guessing their 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executes ordered steps, stops at the first non-retryable failure, and runs declared compensations (in reverse order) for every already-completed step that has one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Every step's response is checked by construction — there is no code path where a step's result is silently ignored (closes ADR-013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finish()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COMMITTED</w:t>
            </w:r>
            <w:r>
              <w:rPr>
                <w:color w:val="373737"/>
                <w:sz w:val="17"/>
              </w:rPr>
              <w:t xml:space="preserve"> (all steps succeeded),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(a step failed, compensations ran, no net change),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(a step failed, some compensations don't exist or also failed) — always with per-step detail, never a bare generic error (ADR-013 pin-down 6; surfaced via GraphQL error extensions by each consumer)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Parallel fan-out steps isolate per-branch failures and aggregate a per-branch result — a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>-style first-rejection-wins is not possible through this API (ADR-013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Compensation inventory completed and recorded before any consumer story starts: for every step kind in the §4-B policy table, confirm the declared inverse actually exists (workspace associate↔dissociate, relationship add↔remove); anything without a confirmed inverse defaults to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>, never assumed (ADR-013 pin-down 1 — this is a blocking pre-condition on every consumer story, not optional polish)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Injected mid-sequence failures in unit tests yield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correct per-step detail for at least one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, one </w:t>
            </w:r>
            <w:r>
              <w:rPr>
                <w:rFonts w:ascii="Courier New" w:hAnsi="Courier New"/>
                <w:sz w:val="17"/>
              </w:rPr>
              <w:t>RETRY</w:t>
            </w:r>
            <w:r>
              <w:rPr>
                <w:color w:val="373737"/>
                <w:sz w:val="17"/>
              </w:rPr>
              <w:t xml:space="preserve">, and one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step in the same saga run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Zero consumer-facing API changes are needed if a later step kind's policy is refined (e.g. Option D's backend-composed atomic endpoints replace a saga step with one call) — the saga's public contract is step-name + action + compensation + policy, nothing consumer-specific leaks in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ships alone — no domain's E-phase mutation story is modified here; </w:t>
            </w:r>
            <w:r>
              <w:rPr>
                <w:rFonts w:ascii="Courier New" w:hAnsi="Courier New"/>
                <w:sz w:val="17"/>
              </w:rPr>
              <w:t>MST-BE-E-01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, the smallest real case) is the designated pilot adopter in its own story, followed by </w:t>
            </w:r>
            <w:r>
              <w:rPr>
                <w:rFonts w:ascii="Courier New" w:hAnsi="Courier New"/>
                <w:sz w:val="17"/>
              </w:rPr>
              <w:t>BOM-BE-E-01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PKG-BE-E-01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PDTL-BE-E-01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WATCHLIST-BE-E-01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CLAIM-BE-E-01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PRODUCT-BE-E-02</w:t>
            </w:r>
            <w:r>
              <w:rPr>
                <w:color w:val="373737"/>
                <w:sz w:val="17"/>
              </w:rPr>
              <w:t>, and the later-phase sample mutations, each per their own story's acceptance criteria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3-step saga where step 2 fails → step 1's compensation runs, step 3 never runs, result is </w:t>
            </w:r>
            <w:r>
              <w:rPr>
                <w:rFonts w:ascii="Courier New" w:hAnsi="Courier New"/>
                <w:sz w:val="17"/>
              </w:rPr>
              <w:t>COMPENSATED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RETRY(n)</w:t>
            </w:r>
            <w:r>
              <w:rPr>
                <w:color w:val="373737"/>
                <w:sz w:val="17"/>
              </w:rPr>
              <w:t xml:space="preserve"> policy fails </w:t>
            </w:r>
            <w:r>
              <w:rPr>
                <w:rFonts w:ascii="Courier New" w:hAnsi="Courier New"/>
                <w:sz w:val="17"/>
              </w:rPr>
              <w:t>n</w:t>
            </w:r>
            <w:r>
              <w:rPr>
                <w:color w:val="373737"/>
                <w:sz w:val="17"/>
              </w:rPr>
              <w:t xml:space="preserve"> times then still fails → result is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that step's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policy fails → saga continues past it (not a hard stop), failure recorded in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declares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 but its own compensation call also fails → surfaced as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>, not silently swallowed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a 5-branch parallel fan-out where 1 branch fails → the other 4 branches' results are still returned, aggregated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compensation inventory checklist (pin-down 1) run and recorded against real backend endpoints before this story closes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SPIKE-03, E-00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ADR-012 pin-down 4 (async-refinement scope — recentlyViewed/todo/favorite/user-profile only, never &gt; ACL or partner status) and pin-down 6 (keep the </w:t>
            </w:r>
            <w:r>
              <w:rPr>
                <w:rFonts w:ascii="Courier New" w:hAnsi="Courier New"/>
                <w:sz w:val="17"/>
              </w:rPr>
              <w:t>actionType</w:t>
            </w:r>
            <w:r>
              <w:rPr>
                <w:color w:val="373737"/>
                <w:sz w:val="17"/>
              </w:rPr>
              <w:t xml:space="preserve"> dispatcher shape for phase-1 parity; splitting &gt; is a v2 API question) are scope/architecture statements, not independently testable behavior — no dedicated &gt; AC needed; honored by construction in the service shape above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E-00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H-01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H-05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PRODUCT-BE-E-01: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ADR-012 pin-down 4 (async-refinement scope — recentlyViewed/todo/favorite/user-profile only, never</w:t>
        <w:br/>
        <w:t xml:space="preserve">&gt; ACL or partner status) and pin-down 6 (keep the </w:t>
      </w:r>
      <w:r>
        <w:rPr>
          <w:rFonts w:ascii="Courier New" w:hAnsi="Courier New"/>
          <w:sz w:val="17"/>
        </w:rPr>
        <w:t>actionType</w:t>
      </w:r>
      <w:r>
        <w:rPr>
          <w:color w:val="444444"/>
          <w:sz w:val="17"/>
        </w:rPr>
        <w:t xml:space="preserve"> dispatcher shape for phase-1 parity; splitting</w:t>
        <w:br/>
        <w:t>&gt; is a v2 API question) are scope/architecture statements, not independently testable behavior — no dedicated</w:t>
        <w:br/>
        <w:t>&gt; AC needed; honored by construction in the service shape above.</w:t>
      </w:r>
    </w:p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H-01, H-02, H-03, F-04, H-04, F-06, H-05, F-08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H-06, F-14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CLAIM-BE-H-01, CLAIM-BE-H-02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side hydrates both v2 and v3 attachment ids (no v2-ignoring gap) — the workspace-side v2-ignoring behaviour (ADR-018 pin-down 2) does not apply here; confirmed by fixture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thread→parent-discussion lookup guarded — a thread whose parent discussion falls outside the walk is skipped + logged, not a crash (accepted deviation, ADR-018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discussion data sourced via a direct discussion-service client + one batched replies call — the cross-resolver import and the per-discussion reply N+1 are both gone (ADR-018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attachmentElasticResponseFeatureFlag</w:t>
            </w:r>
            <w:r>
              <w:rPr>
                <w:color w:val="373737"/>
                <w:sz w:val="17"/>
              </w:rPr>
              <w:t xml:space="preserve"> state surveyed across every environment BEFORE fixtures are recorded — blocking precondition on fixture recording (ADR-018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draft-filter TODO ("ACL should be doing this") kept verbatim in the ported code — filter not removed; ACL-enforcement backlog item filed separately (ADR-018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createAttachmentPaged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precedence bug preserved exactly as today's output — pinned by a fixture using a row with its own non-empty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(ADR-018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independent fetches (token, discussions, threads, samples) run in parallel — accepted performance fix (ADR-018 pin-down 10).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the missing-ACL skip+log behaviour here is intentionally asymmetric with </w:t>
            </w:r>
            <w:r>
              <w:rPr>
                <w:rFonts w:ascii="Courier New" w:hAnsi="Courier New"/>
                <w:sz w:val="17"/>
              </w:rPr>
              <w:t>G-02</w:t>
            </w:r>
            <w:r>
              <w:rPr>
                <w:color w:val="373737"/>
                <w:sz w:val="17"/>
              </w:rPr>
              <w:t>'s missing-ACL throw (ADR-014 pin-down 2) — each surface's UI is calibrated to its own behaviour; this asymmetry is by design (ADR-018 pin-down 8) and should not be "fixed" to match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sample→discussion </w:t>
            </w:r>
            <w:r>
              <w:rPr>
                <w:b/>
                <w:color w:val="373737"/>
                <w:sz w:val="17"/>
              </w:rPr>
              <w:t>+1</w:t>
            </w:r>
            <w:r>
              <w:rPr>
                <w:color w:val="373737"/>
                <w:sz w:val="17"/>
              </w:rPr>
              <w:t xml:space="preserve"> roll-up quirk preserved exactly, not "fixed" to real counts — pinned by a dedicated fixture documenting the quirk as intentional (ADR-014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packaging elastic query joins the 4-way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 xml:space="preserve"> (5-way parallel) instead of running sequentially after — accepted performance fix, not a behaviour change (ADR-014 pin-down 7).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ADR-014 pin-downs 3 (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scalar-</w:t>
            </w:r>
            <w:r>
              <w:rPr>
                <w:rFonts w:ascii="Courier New" w:hAnsi="Courier New"/>
                <w:sz w:val="17"/>
              </w:rPr>
              <w:t>0</w:t>
            </w:r>
            <w:r>
              <w:rPr>
                <w:color w:val="373737"/>
                <w:sz w:val="17"/>
              </w:rPr>
              <w:t xml:space="preserve"> → zeros-object fix) and 8 (</w:t>
            </w:r>
            <w:r>
              <w:rPr>
                <w:rFonts w:ascii="Courier New" w:hAnsi="Courier New"/>
                <w:sz w:val="17"/>
              </w:rPr>
              <w:t>WorkspaceV2.products</w:t>
            </w:r>
            <w:r>
              <w:rPr>
                <w:color w:val="373737"/>
                <w:sz w:val="17"/>
              </w:rPr>
              <w:t xml:space="preserve"> include-flags delegation) are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-side, not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-side — they belong to the later-phase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 twin story (</w:t>
            </w:r>
            <w:r>
              <w:rPr>
                <w:rFonts w:ascii="Courier New" w:hAnsi="Courier New"/>
                <w:sz w:val="17"/>
              </w:rPr>
              <w:t>WORKSPACE-BE-G-02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G-04</w:t>
            </w:r>
            <w:r>
              <w:rPr>
                <w:color w:val="373737"/>
                <w:sz w:val="17"/>
              </w:rPr>
              <w:t>), not here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thin fields inherit all of </w:t>
            </w:r>
            <w:r>
              <w:rPr>
                <w:rFonts w:ascii="Courier New" w:hAnsi="Courier New"/>
                <w:sz w:val="17"/>
              </w:rPr>
              <w:t>G-01</w:t>
            </w:r>
            <w:r>
              <w:rPr>
                <w:color w:val="373737"/>
                <w:sz w:val="17"/>
              </w:rPr>
              <w:t>'s fixtures/pin-downs by construction (no separate fixture set)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draft discussion attachment fixture (draft filter)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workspace-v2-only-attachments fixture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both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modes (args-present elastic vs args-absent walk/flag) produce parity output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samples lane's </w:t>
            </w:r>
            <w:r>
              <w:rPr>
                <w:rFonts w:ascii="Courier New" w:hAnsi="Courier New"/>
                <w:sz w:val="17"/>
              </w:rPr>
              <w:t>variableValues</w:t>
            </w:r>
            <w:r>
              <w:rPr>
                <w:color w:val="373737"/>
                <w:sz w:val="17"/>
              </w:rPr>
              <w:t xml:space="preserve"> coupling contract-checked against the UI's samples queries BEFORE cutover — this is a blocking pre-condition, not a nice-to-have (ADR-016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5 sequential source fetches (discussions/attachments/components/samples/watchlists) parallelize — accepted deviation, union output is order-insensitive (ADR-016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serial ACL chunk loop (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>) parallelizes — same fix family as ADR-015 pin-down 3 (ADR-016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watchlist lane's </w:t>
            </w:r>
            <w:r>
              <w:rPr>
                <w:rFonts w:ascii="Courier New" w:hAnsi="Courier New"/>
                <w:sz w:val="17"/>
              </w:rPr>
              <w:t>productWorkspaceInfo[0]</w:t>
            </w:r>
            <w:r>
              <w:rPr>
                <w:color w:val="373737"/>
                <w:sz w:val="17"/>
              </w:rPr>
              <w:t>-only / first-workspace-only scope preserved exactly as today's semantics (ADR-016 pin-down 8)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Relationship-Service walk inside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>'s owner-enumeration client is a quarantined interim — each lane's future arrival deletes its own share of the walk (ADR-016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gate proves no lane field (</w:t>
            </w:r>
            <w:r>
              <w:rPr>
                <w:rFonts w:ascii="Courier New" w:hAnsi="Courier New"/>
                <w:sz w:val="17"/>
              </w:rPr>
              <w:t>…PartnerIds</w:t>
            </w:r>
            <w:r>
              <w:rPr>
                <w:color w:val="373737"/>
                <w:sz w:val="17"/>
              </w:rPr>
              <w:t xml:space="preserve"> naming + externals until fed-2/</w:t>
            </w:r>
            <w:r>
              <w:rPr>
                <w:rFonts w:ascii="Courier New" w:hAnsi="Courier New"/>
                <w:sz w:val="17"/>
              </w:rPr>
              <w:t>@inaccessible</w:t>
            </w:r>
            <w:r>
              <w:rPr>
                <w:color w:val="373737"/>
                <w:sz w:val="17"/>
              </w:rPr>
              <w:t xml:space="preserve"> is usable) is exposed to clients (ADR-016 pin-down 10)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the missing-ACL skip+log behaviour here is intentionally asymmetric with </w:t>
      </w:r>
      <w:r>
        <w:rPr>
          <w:rFonts w:ascii="Courier New" w:hAnsi="Courier New"/>
          <w:sz w:val="17"/>
        </w:rPr>
        <w:t>G-02</w:t>
      </w:r>
      <w:r>
        <w:rPr>
          <w:color w:val="444444"/>
          <w:sz w:val="17"/>
        </w:rPr>
        <w:t>'s missing-ACL throw (ADR-014 pin-down 2) — each surface's UI is calibrated to its own behaviour; this asymmetry is by design (ADR-018 pin-down 8) and should not be "fixed" to match.</w:t>
      </w:r>
    </w:p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PRODUCT-BE-G-02: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ADR-014 pin-downs 3 (</w:t>
      </w:r>
      <w:r>
        <w:rPr>
          <w:rFonts w:ascii="Courier New" w:hAnsi="Courier New"/>
          <w:sz w:val="17"/>
        </w:rPr>
        <w:t>counts</w:t>
      </w:r>
      <w:r>
        <w:rPr>
          <w:color w:val="444444"/>
          <w:sz w:val="17"/>
        </w:rPr>
        <w:t xml:space="preserve"> scalar-</w:t>
      </w:r>
      <w:r>
        <w:rPr>
          <w:rFonts w:ascii="Courier New" w:hAnsi="Courier New"/>
          <w:sz w:val="17"/>
        </w:rPr>
        <w:t>0</w:t>
      </w:r>
      <w:r>
        <w:rPr>
          <w:color w:val="444444"/>
          <w:sz w:val="17"/>
        </w:rPr>
        <w:t xml:space="preserve"> → zeros-object fix) and 8 (</w:t>
      </w:r>
      <w:r>
        <w:rPr>
          <w:rFonts w:ascii="Courier New" w:hAnsi="Courier New"/>
          <w:sz w:val="17"/>
        </w:rPr>
        <w:t>WorkspaceV2.products</w:t>
      </w:r>
      <w:r>
        <w:rPr>
          <w:color w:val="444444"/>
          <w:sz w:val="17"/>
        </w:rPr>
        <w:t xml:space="preserve"> include-flags delegation) are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-side, not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-side — they belong to the later-phase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 twin story (</w:t>
      </w:r>
      <w:r>
        <w:rPr>
          <w:rFonts w:ascii="Courier New" w:hAnsi="Courier New"/>
          <w:sz w:val="17"/>
        </w:rPr>
        <w:t>WORKSPACE-BE-G-02</w:t>
      </w:r>
      <w:r>
        <w:rPr>
          <w:color w:val="444444"/>
          <w:sz w:val="17"/>
        </w:rPr>
        <w:t>/</w:t>
      </w:r>
      <w:r>
        <w:rPr>
          <w:rFonts w:ascii="Courier New" w:hAnsi="Courier New"/>
          <w:sz w:val="17"/>
        </w:rPr>
        <w:t>G-04</w:t>
      </w:r>
      <w:r>
        <w:rPr>
          <w:color w:val="444444"/>
          <w:sz w:val="17"/>
        </w:rPr>
        <w:t>), not here.</w:t>
      </w:r>
    </w:p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68–104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all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(single root query, 17 flavors)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13–19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 documents (list/search/bulk-create)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6–9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getProductsByIds</w:t>
            </w:r>
            <w:r>
              <w:rPr>
                <w:color w:val="373737"/>
                <w:sz w:val="18"/>
              </w:rPr>
              <w:t xml:space="preserve"> documents (bulk-by-id reads)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getProductStatus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6–9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getCategories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mutations and rollup counts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(+8)&lt;br&gt;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 (+10)&lt;br&gt;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 (+9)&lt;br&gt;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(3–5d)&lt;br&gt;🟢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(13–19d)&lt;br&gt;🔴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(6–9d)&lt;br&gt;🟡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(6–9d)&lt;br&gt;🟡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