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40"/>
        </w:rPr>
        <w:t>Federated GraphQL Breakdown — Claims ·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320"/>
        <w:gridCol w:w="4320"/>
      </w:tblGrid>
      <w:tr>
        <w:trPr>
          <w:trHeight w:val="360" w:hRule="atLeast"/>
        </w:trPr>
        <w:tc>
          <w:tcPr>
            <w:tcW w:type="dxa" w:w="432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  <w:tc>
          <w:tcPr>
            <w:tcW w:type="dxa" w:w="432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Client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pdex-ui-react</w:t>
            </w:r>
            <w:r>
              <w:rPr>
                <w:color w:val="373737"/>
                <w:sz w:val="18"/>
              </w:rPr>
              <w:t xml:space="preserve"> (Apollo Client)</w:t>
            </w:r>
          </w:p>
        </w:tc>
      </w:tr>
      <w:tr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Backend subgraph</w:t>
            </w:r>
          </w:p>
        </w:tc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spark-claims (separate)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FE Stories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</w:tr>
      <w:tr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Impact</w:t>
            </w:r>
          </w:p>
        </w:tc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2 High · 🟡 2 Medium · 🟢 0 Low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Estimated effort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17–27 days (single-engineer)</w:t>
            </w:r>
          </w:p>
        </w:tc>
      </w:tr>
      <w:tr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Phase-1 surface</w:t>
            </w:r>
          </w:p>
        </w:tc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18 operation-to-root-field rows · 6 client files · 8 components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Generated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2026-07-17</w:t>
            </w:r>
          </w:p>
        </w:tc>
      </w:tr>
    </w:tbl>
    <w:p/>
    <w:p>
      <w:pPr>
        <w:spacing w:after="40"/>
      </w:pPr>
      <w:r>
        <w:rPr>
          <w:color w:val="444444"/>
          <w:sz w:val="18"/>
        </w:rPr>
        <w:t xml:space="preserve">A frontend story is </w:t>
      </w:r>
      <w:r>
        <w:rPr>
          <w:b/>
          <w:color w:val="444444"/>
          <w:sz w:val="18"/>
        </w:rPr>
        <w:t>Done only after every backend story it depends on has been delivered</w:t>
      </w:r>
      <w:r>
        <w:rPr>
          <w:color w:val="444444"/>
          <w:sz w:val="18"/>
        </w:rPr>
        <w:t>. Full story text (objectives, required changes, AC, testing) lives in fe-08-frontend-stories.md — the hand-authored source of truth; this page is the per-domain planning view.</w:t>
      </w:r>
    </w:p>
    <w:p>
      <w:pPr>
        <w:spacing w:before="240" w:after="80"/>
      </w:pPr>
      <w:r>
        <w:rPr>
          <w:b/>
          <w:color w:val="1F497D"/>
          <w:sz w:val="28"/>
        </w:rPr>
        <w:t>What Are We Changing?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 xml:space="preserve">Point the </w:t>
      </w:r>
      <w:r>
        <w:rPr>
          <w:b/>
          <w:color w:val="373737"/>
          <w:sz w:val="18"/>
        </w:rPr>
        <w:t>Claims</w:t>
      </w:r>
      <w:r>
        <w:rPr>
          <w:color w:val="373737"/>
          <w:sz w:val="18"/>
        </w:rPr>
        <w:t xml:space="preserve"> GraphQL operations in </w:t>
      </w:r>
      <w:r>
        <w:rPr>
          <w:rFonts w:ascii="Courier New" w:hAnsi="Courier New"/>
          <w:sz w:val="18"/>
        </w:rPr>
        <w:t>pdex-ui-react</w:t>
      </w:r>
      <w:r>
        <w:rPr>
          <w:color w:val="373737"/>
          <w:sz w:val="18"/>
        </w:rPr>
        <w:t xml:space="preserve"> at the federated router (subgraph </w:t>
      </w:r>
      <w:r>
        <w:rPr>
          <w:rFonts w:ascii="Courier New" w:hAnsi="Courier New"/>
          <w:sz w:val="18"/>
        </w:rPr>
        <w:t>spark-claims (separate)</w:t>
      </w:r>
      <w:r>
        <w:rPr>
          <w:color w:val="373737"/>
          <w:sz w:val="18"/>
        </w:rPr>
        <w:t>) behind the platform feature flag, then remove legacy-gateway assumptions (typenames, cache keys, fragments).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Cutover is per-domain and reversible: dual-run first, flag flip after parity, legacy path kept until the exit criterion holds.</w:t>
      </w:r>
    </w:p>
    <w:p>
      <w:pPr>
        <w:spacing w:before="240" w:after="80"/>
      </w:pPr>
      <w:r>
        <w:rPr>
          <w:b/>
          <w:color w:val="1F497D"/>
          <w:sz w:val="28"/>
        </w:rPr>
        <w:t>Stories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rHeight w:val="360" w:hRule="atLeast"/>
        </w:trPr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Title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Type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Impact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Operations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CLAIM-FE-001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Split the claim fragment factory and re-target claim fragments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Refactor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2–3 days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CLAIM-FE-002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claim reads (first cross-subgraph cutover)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High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6–10 days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CLAIM-BE-B-01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CLAIM-BE-B-02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CLAIM-FE-001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getClaims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getClaimByIds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getCommunicationChannels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getAllClaimsAbout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getClaimComponentStatus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CLAIM-FE-003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claim simple mutations and export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 migration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4–6 days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CLAIM-BE-D-01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CLAIM-BE-D-02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CLAIM-BE-D-03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createClaim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bulkUpdateClaim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lockClaim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unlockClaim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requestClaimExport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CLAIM-FE-004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Migrate </w:t>
            </w:r>
            <w:r>
              <w:rPr>
                <w:rFonts w:ascii="Courier New" w:hAnsi="Courier New"/>
                <w:sz w:val="18"/>
              </w:rPr>
              <w:t>updateClaim</w:t>
            </w:r>
            <w:r>
              <w:rPr>
                <w:color w:val="373737"/>
                <w:sz w:val="18"/>
              </w:rPr>
              <w:t xml:space="preserve"> multi-step write handling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 migration (complex)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High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5–8 days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CLAIM-BE-E-01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updateClaim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Staged from each story's dependencies: the backend phase its BE stories sit in (reads → search → writes → sagas) plus in-domain FE→FE chains. </w:t>
      </w:r>
      <w:r>
        <w:rPr>
          <w:b/>
          <w:color w:val="444444"/>
          <w:sz w:val="18"/>
        </w:rPr>
        <w:t>Stories in the same step are independent of each other and parallelize.</w:t>
      </w:r>
      <w:r>
        <w:rPr>
          <w:color w:val="444444"/>
          <w:sz w:val="18"/>
        </w:rPr>
        <w:t xml:space="preserve"> ADR ratifications are entry gates, not ordering edges.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60"/>
        <w:gridCol w:w="2160"/>
        <w:gridCol w:w="2160"/>
        <w:gridCol w:w="2160"/>
      </w:tblGrid>
      <w:tr>
        <w:trPr>
          <w:trHeight w:val="360" w:hRule="atLeast"/>
        </w:trPr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Waits for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CLAIM-FE-001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cutover — needs backend phase A/B reads live</w:t>
            </w:r>
          </w:p>
        </w:tc>
      </w:tr>
      <w:tr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CLAIM-FE-002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CLAIM-FE-002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CLAIM-BE-B-01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CLAIM-BE-B-02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&amp; listing — needs backend phase C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CLAIM-FE-003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CLAIM-FE-003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CLAIM-BE-D-01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CLAIM-BE-D-02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CLAIM-BE-D-03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Writes — needs backend phase D mutations</w:t>
            </w:r>
          </w:p>
        </w:tc>
      </w:tr>
      <w:tr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CLAIM-FE-004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CLAIM-FE-004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CLAIM-BE-E-01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writes / sagas — needs backend phase E + ADR ratification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Cutover flow: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CLAIM-FE-001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CLAIM-FE-002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CLAIM-FE-003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CLAIM-FE-004</w:t>
      </w:r>
      <w:r>
        <w:rPr>
          <w:color w:val="373737"/>
          <w:sz w:val="19"/>
        </w:rPr>
        <w:t>.</w:t>
      </w:r>
    </w:p>
    <w:p>
      <w:pPr>
        <w:spacing w:before="240" w:after="80"/>
      </w:pPr>
      <w:r>
        <w:rPr>
          <w:b/>
          <w:color w:val="1F497D"/>
          <w:sz w:val="28"/>
        </w:rPr>
        <w:t>Recommended Story Graph — 2 Frontend Engineers</w:t>
      </w:r>
    </w:p>
    <w:p>
      <w:pPr>
        <w:spacing w:after="40"/>
      </w:pPr>
      <w:r>
        <w:rPr>
          <w:color w:val="444444"/>
          <w:sz w:val="18"/>
        </w:rPr>
        <w:t xml:space="preserve">The order map above packed onto </w:t>
      </w:r>
      <w:r>
        <w:rPr>
          <w:b/>
          <w:color w:val="444444"/>
          <w:sz w:val="18"/>
        </w:rPr>
        <w:t>two frontend engineers</w:t>
      </w:r>
      <w:r>
        <w:rPr>
          <w:color w:val="444444"/>
          <w:sz w:val="18"/>
        </w:rPr>
        <w:t xml:space="preserve">. Lanes re-sync at each step because the step's </w:t>
      </w:r>
      <w:r>
        <w:rPr>
          <w:b/>
          <w:color w:val="444444"/>
          <w:sz w:val="18"/>
        </w:rPr>
        <w:t>backend gate</w:t>
      </w:r>
      <w:r>
        <w:rPr>
          <w:color w:val="444444"/>
          <w:sz w:val="18"/>
        </w:rPr>
        <w:t xml:space="preserve"> — not engineer availability — is the limiter; in a single-story step the second engineer pairs on parity checks/rollout or pre-pulls the next unblocked story. FE→FE chains stay with one engineer for context.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60"/>
        <w:gridCol w:w="2160"/>
        <w:gridCol w:w="2160"/>
        <w:gridCol w:w="2160"/>
      </w:tblGrid>
      <w:tr>
        <w:trPr>
          <w:trHeight w:val="360" w:hRule="atLeast"/>
        </w:trPr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👤 FE-1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👤 FE-2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Backend gate (focus)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CLAIM-FE-001</w:t>
            </w:r>
            <w:r>
              <w:rPr>
                <w:color w:val="373737"/>
                <w:sz w:val="18"/>
              </w:rPr>
              <w:t xml:space="preserve"> (2–3d)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cutover — needs backend phase A/B reads live</w:t>
            </w:r>
          </w:p>
        </w:tc>
      </w:tr>
      <w:tr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CLAIM-FE-002</w:t>
            </w:r>
            <w:r>
              <w:rPr>
                <w:color w:val="373737"/>
                <w:sz w:val="18"/>
              </w:rPr>
              <w:t xml:space="preserve"> (6–10d)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&amp; listing — needs backend phase C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CLAIM-FE-003</w:t>
            </w:r>
            <w:r>
              <w:rPr>
                <w:color w:val="373737"/>
                <w:sz w:val="18"/>
              </w:rPr>
              <w:t xml:space="preserve"> (4–6d)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Writes — needs backend phase D mutations</w:t>
            </w:r>
          </w:p>
        </w:tc>
      </w:tr>
      <w:tr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CLAIM-FE-004</w:t>
            </w:r>
            <w:r>
              <w:rPr>
                <w:color w:val="373737"/>
                <w:sz w:val="18"/>
              </w:rPr>
              <w:t xml:space="preserve"> (5–8d)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writes / sagas — needs backend phase E + ADR ratification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Elapsed (nominal midpoints):</w:t>
      </w:r>
      <w:r>
        <w:rPr>
          <w:color w:val="373737"/>
          <w:sz w:val="19"/>
        </w:rPr>
        <w:t xml:space="preserve"> ~22 FE build days with 2 engineers vs ~22 single-engineer — calendar time is set by the backend gates, not FE capacity.</w:t>
      </w:r>
    </w:p>
    <w:p>
      <w:pPr>
        <w:spacing w:before="240" w:after="80"/>
      </w:pPr>
      <w:r>
        <w:rPr>
          <w:b/>
          <w:color w:val="1F497D"/>
          <w:sz w:val="28"/>
        </w:rPr>
        <w:t>References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fe-08-frontend-stories.md — full story text (source of truth).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fe-09-story-dependency-matrix.md — FE ↔ BE dependency matrix.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fe-10-migration-sequencing.md — program-level waves and external gates.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fe-03-merged-inventory.md — every operation × backend root field for this domain.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FederatedGqlBreakDown-BE-claims.md — the backend breakdown this cutover follows.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