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8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 (BLOCKED-BY product/sample)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32–55d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7–11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G-03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+`B-03`, `B-04`, `B-05`)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+`D-03`, `D-04`, `D-05`)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~20 working days with 2 engineers vs ~37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(cached); Return the thickness unit-of-measure lookup (cached); Return the measurement-set status lookup (cached); Fetch the measurement set for a sample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camelCase. ; GET … → units_of_measure. ; GET … → {key:value} map → [{code, description}]. ; 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>: 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>: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>: 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>: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>: 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>: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>: key→code, value→description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fetcher: 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fetcher: 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 · </w:t>
            </w: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 · </w:t>
            </w: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 · </w:t>
            </w: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set; Lock a measurement set from edits; Unlock a measurement set; Update the component status on measurement sets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DGS. ; PUT …/{id}/lock. ignored in DGS. ; PUT …/{id}/unlock. ; PUT…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mutation: 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mutation: 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mutation: Input-shape decision recorded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mutation: 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mutation: 404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mutation: 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mutation: 404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mutation: 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mutation: 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mutation: Auth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measurementTemplate, sizeTemplate, tightFit,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measurement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for the 7 queries + 8 mutations + updateMeasurement 3 fixtures + the relationship path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green for reads/writes incl. </w:t>
            </w: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relationship path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failure path covered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