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48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31  🟢 8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2026-07-17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~200-line, 14-step aggregation spanning 8 domains' data via 4 physical services, which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facade-then-federate</w:t>
      </w:r>
      <w:r>
        <w:rPr>
          <w:color w:val="373737"/>
          <w:sz w:val="20"/>
        </w:rPr>
        <w:t xml:space="preserve"> approach for TechPack (draft </w:t>
      </w:r>
      <w:r>
        <w:rPr>
          <w:b/>
          <w:color w:val="373737"/>
          <w:sz w:val="20"/>
        </w:rPr>
        <w:t>ADR-015</w:t>
      </w:r>
      <w:r>
        <w:rPr>
          <w:color w:val="373737"/>
          <w:sz w:val="20"/>
        </w:rPr>
        <w:t xml:space="preserve"> Option B; the pattern </w:t>
      </w:r>
      <w:r>
        <w:rPr>
          <w:rFonts w:ascii="Courier New" w:hAnsi="Courier New"/>
          <w:sz w:val="20"/>
        </w:rPr>
        <w:t>techpack-migration-options.md</w:t>
      </w:r>
      <w:r>
        <w:rPr>
          <w:color w:val="373737"/>
          <w:sz w:val="20"/>
        </w:rPr>
        <w:t xml:space="preserve"> labels "Option D (hybrid)"): ship a thin query over a temporary aggregation facade so it works on day 1, then federate each piece to its owning domain, then retire the facade (</w:t>
      </w:r>
      <w:r>
        <w:rPr>
          <w:rFonts w:ascii="Courier New" w:hAnsi="Courier New"/>
          <w:sz w:val="20"/>
        </w:rPr>
        <w:t>F-09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legacy gateway obtains per-resource capability tokens via ACL on nearly every call.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control. Each complex case carries a scenario ADR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recording this assumption's impact; those ratify together with the global decision. ACL steps are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build stories (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= +1). The 3 Phase-0 spike stubs (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S-03</w:t>
            </w:r>
            <w:r>
              <w:rPr>
                <w:color w:val="373737"/>
                <w:sz w:val="18"/>
              </w:rPr>
              <w:t xml:space="preserve">)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PRODUCT-BE-D-01 — addProduct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PRODUCT-BE-D-02 — addProducts (bulk)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PRODUCT-BE-D-04 — updateProduct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PRODUCT-BE-E-01 — productBusinessPartnerActions (REMOVE/DROP/UNDROP)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SPIKE-03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PRODUCT-BE-E-02 — updateComponentStatuses (5-loader fan-out)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PRODUCT-BE-E-03 — getProductTechPackCountV1 stub + aggregation facade (facade-then-federate, Phase 1)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PRODUCT-BE-E-04 — getProductTechPackBulkCountV1 (bulk wrapper, ordering fix)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PRODUCT-BE-G-07 — Product.vendorAttributes + businessPartners + droppedPartners + unDroppablePartners + status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PRODUCT-BE-G-11-1 — Product.notRemovablePartnerIds + notRemovableWorkspaceIds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11–18d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17–29d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C-01 gated on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(Hydration,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25–40d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D-01/D-02/D-04 gated on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(Association, via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>); D-03/D-06/D-07/D-11 unblocked (single-backend, per ADR-011 scope)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(partner/components/TechPack)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33–56d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E-01 gated on </w:t>
            </w:r>
            <w:r>
              <w:rPr>
                <w:rFonts w:ascii="Courier New" w:hAnsi="Courier New"/>
                <w:sz w:val="18"/>
              </w:rPr>
              <w:t>SPIKE-03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22–40d (most BLOCKED-BY siblings)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E-03 / siblings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Resolvers, Bug-fixes, Utils,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86–143d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B-01.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(16 → 17)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194–326d</w:t>
            </w:r>
            <w:r>
              <w:rPr>
                <w:color w:val="373737"/>
                <w:sz w:val="18"/>
              </w:rPr>
              <w:t xml:space="preserve"> (buffered; sum of phase rows)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39–66 sprints</w:t>
      </w:r>
      <w:r>
        <w:rPr>
          <w:color w:val="444444"/>
          <w:sz w:val="18"/>
        </w:rPr>
        <w:t>. Heavily parallelizable after B-01; 2–3 engineers strongly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~39–66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B-01–B-11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(C-01 needs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(D-01/D-02/D-04 need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concluded; D-03/D-06/D-07/D-11 unblocked)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E-03/E-04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facade-then-federate direction already resolved, draft ADR-015)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E-01/E-02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G-01–G-10, G-11-1, G-11-2, G-12–G-14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(G-01/G-02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G-15 + G-16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+ tests/parity/load/cut-over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F-01–F-09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F-10–F-12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G-16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F-03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F-05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F-07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⚙️ Complex Operations · 🔗 Federation &amp; Stitching · 🧪 Field Resolvers &amp; Tests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Federation &amp; Stitching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Backend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2 backend engineers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⏳ after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→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G-16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F-03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F-05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+`F-06`, `F-08`)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+`B-03`, `B-04`, `B-05`)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F-07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+`B-07`, `B-08`, `B-09`)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+`D-11`, `D-12`, `D-13`)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+`D-07`, `D-08`, `D-09`)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+`D-15`, `D-16`, `D-17`)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(1–2d) </w:t>
            </w:r>
            <w:r>
              <w:rPr>
                <w:i/>
                <w:color w:val="373737"/>
                <w:sz w:val="18"/>
              </w:rPr>
              <w:t>(grouped XS: +`B-11`)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(1–2d) </w:t>
            </w:r>
            <w:r>
              <w:rPr>
                <w:i/>
                <w:color w:val="373737"/>
                <w:sz w:val="18"/>
              </w:rPr>
              <w:t>(grouped XS: +`G-14`)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F-12</w:t>
      </w:r>
      <w:r>
        <w:rPr>
          <w:color w:val="373737"/>
          <w:sz w:val="19"/>
        </w:rPr>
        <w:t>&lt;br&gt;</w:t>
      </w:r>
      <w:r>
        <w:rPr>
          <w:b/>
          <w:color w:val="373737"/>
          <w:sz w:val="19"/>
        </w:rPr>
        <w:t>BE-2: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~88 working days with 2 engineers vs ~174 days sequential.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getProductVersions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getCopyStatus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ids; Returns the list of possible product statuses (dropdown options); Lists the saved versions of a product; Tells you whether a product copy is still in progress or done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getByID. ; getStatus master status list. ; getVersions GET…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getProductsByIds</w:t>
            </w:r>
            <w:r>
              <w:rPr>
                <w:color w:val="373737"/>
                <w:sz w:val="17"/>
              </w:rPr>
              <w:t>: 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getProductsByIds</w:t>
            </w:r>
            <w:r>
              <w:rPr>
                <w:color w:val="373737"/>
                <w:sz w:val="17"/>
              </w:rPr>
              <w:t>: primes single-id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>: 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>: 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getProductVersions</w:t>
            </w:r>
            <w:r>
              <w:rPr>
                <w:color w:val="373737"/>
                <w:sz w:val="17"/>
              </w:rPr>
              <w:t>: returns versions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getCopyStatus</w:t>
            </w:r>
            <w:r>
              <w:rPr>
                <w:color w:val="373737"/>
                <w:sz w:val="17"/>
              </w:rPr>
              <w:t>: returns copy status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getProductRules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getProductRulesById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id; Returns the product business rules; Looks up one business rule by id; Lists all the rules that are available to apply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preserve). ; getAllRules GET $… → content. ; getRuleById GET $… ; 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getProductTemplateById</w:t>
            </w:r>
            <w:r>
              <w:rPr>
                <w:color w:val="373737"/>
                <w:sz w:val="17"/>
              </w:rPr>
              <w:t>: returns product or empty object (not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getProductRules</w:t>
            </w:r>
            <w:r>
              <w:rPr>
                <w:color w:val="373737"/>
                <w:sz w:val="17"/>
              </w:rPr>
              <w:t>: returns rules content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getProductRulesById</w:t>
            </w:r>
            <w:r>
              <w:rPr>
                <w:color w:val="373737"/>
                <w:sz w:val="17"/>
              </w:rPr>
              <w:t>: returns rule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getAllAvailableRules</w:t>
            </w:r>
            <w:r>
              <w:rPr>
                <w:color w:val="373737"/>
                <w:sz w:val="17"/>
              </w:rPr>
              <w:t>: 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getProductBPRules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products; Returns the business-partner-level rules for given products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getProductDeptRules</w:t>
            </w:r>
            <w:r>
              <w:rPr>
                <w:color w:val="373737"/>
                <w:sz w:val="17"/>
              </w:rPr>
              <w:t xml:space="preserve">: 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getProductDeptRules</w:t>
            </w:r>
            <w:r>
              <w:rPr>
                <w:color w:val="373737"/>
                <w:sz w:val="17"/>
              </w:rPr>
              <w:t>: flag selects the correct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getProductBPRules</w:t>
            </w:r>
            <w:r>
              <w:rPr>
                <w:color w:val="373737"/>
                <w:sz w:val="17"/>
              </w:rPr>
              <w:t>: flag fork honored; BP filter applied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SPIKE-06a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 via the shared association component (no bespoke fan-out code)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failure after create (link or copy fails) surfaces per the mutation's declared failure policy — default fail-fast, no rollback, documented (ADR-011 §4)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attachment links applied via the shared association component; no-rollback behaviour documented (compensation deferred to </w:t>
            </w:r>
            <w:r>
              <w:rPr>
                <w:rFonts w:ascii="Courier New" w:hAnsi="Courier New"/>
                <w:sz w:val="17"/>
              </w:rPr>
              <w:t>SPIKE-01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resolver import remains; the formerly fire-and-forget attachment re-point is awaited and its failure visible (accepted deviations per ADR-011 §4)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 · </w:t>
            </w: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 · </w:t>
            </w:r>
            <w:r>
              <w:rPr>
                <w:rFonts w:ascii="Courier New" w:hAnsi="Courier New"/>
                <w:sz w:val="17"/>
              </w:rPr>
              <w:t>removeProductResources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product; Adds business partners to a product with a given type; Removes resources (links) from a product; Updates the status of business partners on a 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manage_workspace_teams. ; POST ${v1}/{productId}/partners-add/bulk; success = response has product_id and no status_code…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Canvas: adds teams + new partners + workspace links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Canvas: partner-add failure exits early with a thrown typed error (today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— standardized per ADR-011 §4 pin-down 4, accepted deviation); teams are not added after a failed partner add (legacy order preserved)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Canvas: adds partners with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Canvas: failure throws a typed </w:t>
            </w:r>
            <w:r>
              <w:rPr>
                <w:rFonts w:ascii="Courier New" w:hAnsi="Courier New"/>
                <w:sz w:val="17"/>
              </w:rPr>
              <w:t>DgsException</w:t>
            </w:r>
            <w:r>
              <w:rPr>
                <w:color w:val="373737"/>
                <w:sz w:val="17"/>
              </w:rPr>
              <w:t xml:space="preserve"> instead of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(accepted parity deviation, ADR-011 §4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removeProductResources</w:t>
            </w:r>
            <w:r>
              <w:rPr>
                <w:color w:val="373737"/>
                <w:sz w:val="17"/>
              </w:rPr>
              <w:t>: removes resources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updateBusinessPartnerStatuses</w:t>
            </w:r>
            <w:r>
              <w:rPr>
                <w:color w:val="373737"/>
                <w:sz w:val="17"/>
              </w:rPr>
              <w:t>: updates partner statuses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 · </w:t>
            </w:r>
            <w:r>
              <w:rPr>
                <w:rFonts w:ascii="Courier New" w:hAnsi="Courier New"/>
                <w:sz w:val="17"/>
              </w:rPr>
              <w:t>updateProductTeamsWorkspaceContext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hidden; Updates a product's workspace attributes; Adds or removes team↔workspace pairings on a product; Links a parent and child product together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toggle. ; PUT ${v1}/{productId} workspace attrs. ; PUT team-workspace add/remove. ; 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updateViewToggle</w:t>
            </w:r>
            <w:r>
              <w:rPr>
                <w:color w:val="373737"/>
                <w:sz w:val="17"/>
              </w:rPr>
              <w:t>: toggles hidden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Canvas: updates workspace attrs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updateProductTeamsWorkspaceContext</w:t>
            </w:r>
            <w:r>
              <w:rPr>
                <w:color w:val="373737"/>
                <w:sz w:val="17"/>
              </w:rPr>
              <w:t>: adds/removes team-workspace pairs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linkProduct</w:t>
            </w:r>
            <w:r>
              <w:rPr>
                <w:color w:val="373737"/>
                <w:sz w:val="17"/>
              </w:rPr>
              <w:t>: 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linkProduct</w:t>
            </w:r>
            <w:r>
              <w:rPr>
                <w:color w:val="373737"/>
                <w:sz w:val="17"/>
              </w:rPr>
              <w:t>: 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addProductRule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updateProductRule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product; Creates a product rule; Updates a product rule; Deletes a product rule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unlink. ; POST …/spark_rules/v1. ; PUT …/spark_rules/v1/{id}. ; 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unlinkProduct</w:t>
            </w:r>
            <w:r>
              <w:rPr>
                <w:color w:val="373737"/>
                <w:sz w:val="17"/>
              </w:rPr>
              <w:t>: unlinks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addProductRule</w:t>
            </w:r>
            <w:r>
              <w:rPr>
                <w:color w:val="373737"/>
                <w:sz w:val="17"/>
              </w:rPr>
              <w:t>: creates rule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updateProductRule</w:t>
            </w:r>
            <w:r>
              <w:rPr>
                <w:color w:val="373737"/>
                <w:sz w:val="17"/>
              </w:rPr>
              <w:t>: updates rule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deleteProductRule</w:t>
            </w:r>
            <w:r>
              <w:rPr>
                <w:color w:val="373737"/>
                <w:sz w:val="17"/>
              </w:rPr>
              <w:t>: deletes; returns Boolean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SPIKE-03 (Partner Drop/Undrop + Ownership)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fixtures), incl. the design-partner branch (</w:t>
            </w:r>
            <w:r>
              <w:rPr>
                <w:rFonts w:ascii="Courier New" w:hAnsi="Courier New"/>
                <w:sz w:val="17"/>
              </w:rPr>
              <w:t>skipSamples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partnerType == DESIGN_PARTNER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SPIKE-03</w:t>
            </w:r>
            <w:r>
              <w:rPr>
                <w:color w:val="373737"/>
                <w:sz w:val="17"/>
              </w:rPr>
              <w:t>'s decision (draft ADR-012: per-step policy — partner-status compensate · ACL retry-then-fail · activity/profile retry+reconcile)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on DROP, ACL revocation completes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mutation returns success; on UNDROP, ACL restore precedes participant undrops — proven by an automated test, not convention (ADR-012 §4 ordering constraint)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Relationship-Service traversal and no </w:t>
            </w:r>
            <w:r>
              <w:rPr>
                <w:rFonts w:ascii="Courier New" w:hAnsi="Courier New"/>
                <w:sz w:val="17"/>
              </w:rPr>
              <w:t>UserProfileAttributes</w:t>
            </w:r>
            <w:r>
              <w:rPr>
                <w:color w:val="373737"/>
                <w:sz w:val="17"/>
              </w:rPr>
              <w:t xml:space="preserve"> resolver import remain in the ported flow (replaced by participant enumeration + a user-profile client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design-partner branch (samples skipped)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 per step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ACL-before-return ordering invariant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(facade-then-federate,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a fully populated 11-field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 for a valid </w:t>
            </w:r>
            <w:r>
              <w:rPr>
                <w:rFonts w:ascii="Courier New" w:hAnsi="Courier New"/>
                <w:sz w:val="17"/>
              </w:rPr>
              <w:t>(productId, partnerId, workspaceContext, parentProductId)</w:t>
            </w:r>
            <w:r>
              <w:rPr>
                <w:color w:val="373737"/>
                <w:sz w:val="17"/>
              </w:rPr>
              <w:t xml:space="preserve"> input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@DgsEntityFetcher(name="ResourcesCount")</w:t>
            </w:r>
            <w:r>
              <w:rPr>
                <w:color w:val="373737"/>
                <w:sz w:val="17"/>
              </w:rPr>
              <w:t xml:space="preserve"> reconstructs the entity from key + context on an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query (federation-ready shell)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Recorded-fixture parity vs </w:t>
            </w:r>
            <w:r>
              <w:rPr>
                <w:rFonts w:ascii="Courier New" w:hAnsi="Courier New"/>
                <w:sz w:val="17"/>
              </w:rPr>
              <w:t>spark-internal-graphql</w:t>
            </w:r>
            <w:r>
              <w:rPr>
                <w:color w:val="373737"/>
                <w:sz w:val="17"/>
              </w:rPr>
              <w:t xml:space="preserve"> for ≥ 5 pinned inputs, including: a product </w:t>
            </w:r>
            <w:r>
              <w:rPr>
                <w:b/>
                <w:color w:val="373737"/>
                <w:sz w:val="17"/>
              </w:rPr>
              <w:t>with a parent</w:t>
            </w:r>
            <w:r>
              <w:rPr>
                <w:color w:val="373737"/>
                <w:sz w:val="17"/>
              </w:rPr>
              <w:t xml:space="preserve"> (double-walk), &gt; 100 walked ids (chunked ACL), a 3D attachment, and a critical thread whose parent discussion is outside the walk — 100% field-value match modulo the ADR-015 §4 deviation list (parallelized elastic/ACL calls; counts unchanged)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observable: per-slice latency + error metrics and a health endpoint exist (they gate the </w:t>
            </w:r>
            <w:r>
              <w:rPr>
                <w:rFonts w:ascii="Courier New" w:hAnsi="Courier New"/>
                <w:sz w:val="17"/>
              </w:rPr>
              <w:t>F-01</w:t>
            </w:r>
            <w:r>
              <w:rPr>
                <w:color w:val="373737"/>
                <w:sz w:val="17"/>
              </w:rPr>
              <w:t>–</w:t>
            </w:r>
            <w:r>
              <w:rPr>
                <w:rFonts w:ascii="Courier New" w:hAnsi="Courier New"/>
                <w:sz w:val="17"/>
              </w:rPr>
              <w:t>F-08</w:t>
            </w:r>
            <w:r>
              <w:rPr>
                <w:color w:val="373737"/>
                <w:sz w:val="17"/>
              </w:rPr>
              <w:t xml:space="preserve"> re-homings and the </w:t>
            </w:r>
            <w:r>
              <w:rPr>
                <w:rFonts w:ascii="Courier New" w:hAnsi="Courier New"/>
                <w:sz w:val="17"/>
              </w:rPr>
              <w:t>F-09</w:t>
            </w:r>
            <w:r>
              <w:rPr>
                <w:color w:val="373737"/>
                <w:sz w:val="17"/>
              </w:rPr>
              <w:t xml:space="preserve"> retirement check)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behavior-frozen: deviations limited to ADR-015 §4 pin-downs; </w:t>
            </w:r>
            <w:r>
              <w:rPr>
                <w:rFonts w:ascii="Courier New" w:hAnsi="Courier New"/>
                <w:sz w:val="17"/>
              </w:rPr>
              <w:t>CODEOWNERS</w:t>
            </w:r>
            <w:r>
              <w:rPr>
                <w:color w:val="373737"/>
                <w:sz w:val="17"/>
              </w:rPr>
              <w:t xml:space="preserve"> guard in place so new feature work lands in the owning domain's </w:t>
            </w:r>
            <w:r>
              <w:rPr>
                <w:rFonts w:ascii="Courier New" w:hAnsi="Courier New"/>
                <w:sz w:val="17"/>
              </w:rPr>
              <w:t>F0x</w:t>
            </w:r>
            <w:r>
              <w:rPr>
                <w:color w:val="373737"/>
                <w:sz w:val="17"/>
              </w:rPr>
              <w:t xml:space="preserve"> story instead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 returns 11 populated fields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entity fetcher via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≥ 5 pinned inputs (incl. parent double-walk, &gt;100 ids, 3D attachment, out-of-walk critical thread)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per-slice metrics emitted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SPIKE-02, E-03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(10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E-03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ResourcesCount.watchlists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code; Fills in the product's BOM counts — answered in-process by the co-located BOM code; Fills in the product's watchlist count — answered in-process by the co-located Watchlist code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F-01, F-02, F-03, F-04, F-05, F-07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F-10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components, incl. a product with &gt; 100 components (chunked ACL) and a claim with a missing ACL record (throw path preserved, ADR-014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 exactly (incl. name/status fallbacks and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ACL batched — exactly one 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 xml:space="preserve"> call per resolution (no N+1), asserted by a call-count test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read; explicit field args confirmed against UI queries (contract test, ADR-014 pin-down 5)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(G-01)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G-01 service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</w:t>
            </w:r>
            <w:r>
              <w:rPr>
                <w:b/>
                <w:color w:val="373737"/>
                <w:sz w:val="17"/>
              </w:rPr>
              <w:t>bug fix</w:t>
            </w:r>
            <w:r>
              <w:rPr>
                <w:color w:val="373737"/>
                <w:sz w:val="17"/>
              </w:rPr>
              <w:t xml:space="preserve"> · Simple user/status fields + trivial pass-throughs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Fix the wrong-loader bug so </w:t>
            </w:r>
            <w:r>
              <w:rPr>
                <w:rFonts w:ascii="Courier New" w:hAnsi="Courier New"/>
                <w:sz w:val="17"/>
              </w:rPr>
              <w:t>division</w:t>
            </w:r>
            <w:r>
              <w:rPr>
                <w:color w:val="373737"/>
                <w:sz w:val="17"/>
              </w:rPr>
              <w:t xml:space="preserve"> returns the product's actual division; Resolve simple people / status fields and trivial pass-throughs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Product.division is supposed to return the product's division - (a specific org unit). - Instead, the source code has a copy-paste-style mistake: it calls…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</w:t>
            </w:r>
            <w:r>
              <w:rPr>
                <w:b/>
                <w:color w:val="373737"/>
                <w:sz w:val="17"/>
              </w:rPr>
              <w:t>bug fix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DopplerDepartment.division</w:t>
            </w:r>
            <w:r>
              <w:rPr>
                <w:color w:val="373737"/>
                <w:sz w:val="17"/>
              </w:rPr>
              <w:t xml:space="preserve"> both return the true division shape (via </w:t>
            </w:r>
            <w:r>
              <w:rPr>
                <w:rFonts w:ascii="Courier New" w:hAnsi="Courier New"/>
                <w:sz w:val="17"/>
              </w:rPr>
              <w:t>DivisionService</w:t>
            </w:r>
            <w:r>
              <w:rPr>
                <w:color w:val="373737"/>
                <w:sz w:val="17"/>
              </w:rPr>
              <w:t>), not the department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</w:t>
            </w:r>
            <w:r>
              <w:rPr>
                <w:b/>
                <w:color w:val="373737"/>
                <w:sz w:val="17"/>
              </w:rPr>
              <w:t>bug fix</w:t>
            </w:r>
            <w:r>
              <w:rPr>
                <w:color w:val="373737"/>
                <w:sz w:val="17"/>
              </w:rPr>
              <w:t>: The client-shape-change risk is logged with the PO and confirmed via a client survey before rollout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Simple user/status fields + trivial pass-throughs: 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Simple user/status fields + trivial pass-throughs: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Simple user/status fields + trivial pass-throughs: scalars mapped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coverage, parity harness, load &amp; cut-over rehearsal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C-01, E-01, E-03, G-01, G-02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The safety net: tests + parity + load checks proving the new Product DGS matches the old gateway before cut-over.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≥50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≥50 parity fixtures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load p95 parity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intentional-only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shadow-traffic rehearsal + rollback drill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Load: p95 latency is within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shadow traffic rehearsal + rollback drill passes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