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97D"/>
          <w:sz w:val="40"/>
        </w:rPr>
        <w:t>Federated GraphQL Breakdown — Measurement</w:t>
      </w:r>
    </w:p>
    <w:p>
      <w:pPr>
        <w:spacing w:after="160"/>
      </w:pPr>
      <w:r>
        <w:rPr>
          <w:i/>
          <w:color w:val="444444"/>
          <w:sz w:val="22"/>
        </w:rPr>
        <w:t>Target DGS: plm-product (co-located)  ·  spark-internal-graphql → Netflix DGS Federation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2" w:space="0" w:color="A0B4CF"/>
          <w:left w:val="single" w:sz="2" w:space="0" w:color="A0B4CF"/>
          <w:bottom w:val="single" w:sz="2" w:space="0" w:color="A0B4CF"/>
          <w:right w:val="single" w:sz="2" w:space="0" w:color="A0B4CF"/>
          <w:insideH w:val="single" w:sz="2" w:space="0" w:color="A0B4CF"/>
          <w:insideV w:val="single" w:sz="2" w:space="0" w:color="A0B4CF"/>
        </w:tblBorders>
      </w:tblPr>
      <w:tblGrid>
        <w:gridCol w:w="2564"/>
        <w:gridCol w:w="2564"/>
        <w:gridCol w:w="2564"/>
        <w:gridCol w:w="2564"/>
      </w:tblGrid>
      <w:tr>
        <w:trPr>
          <w:trHeight w:val="640" w:hRule="atLeast"/>
        </w:trPr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Total Stories</w:t>
              <w:br/>
            </w:r>
            <w:r>
              <w:rPr>
                <w:b/>
                <w:color w:val="1F497D"/>
                <w:sz w:val="22"/>
              </w:rPr>
              <w:t>20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T-Shirt Size</w:t>
              <w:br/>
            </w:r>
            <w:r>
              <w:rPr>
                <w:b/>
                <w:color w:val="1F497D"/>
                <w:sz w:val="22"/>
              </w:rPr>
              <w:t>M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Complexity</w:t>
              <w:br/>
            </w:r>
            <w:r>
              <w:rPr>
                <w:b/>
                <w:color w:val="1F497D"/>
                <w:sz w:val="22"/>
              </w:rPr>
              <w:t>🔴 0  🟠 1  🟡 6  🟢 13</w:t>
            </w:r>
          </w:p>
        </w:tc>
        <w:tc>
          <w:tcPr>
            <w:tcW w:type="dxa" w:w="2564"/>
            <w:shd w:val="clear" w:color="auto" w:fill="DAE8FC"/>
            <w:vAlign w:val="top"/>
          </w:tcPr>
          <w:p>
            <w:pPr>
              <w:jc w:val="center"/>
            </w:pPr>
            <w:r>
              <w:rPr>
                <w:color w:val="444477"/>
                <w:sz w:val="16"/>
              </w:rPr>
              <w:t>Phases</w:t>
              <w:br/>
            </w:r>
            <w:r>
              <w:rPr>
                <w:b/>
                <w:color w:val="1F497D"/>
                <w:sz w:val="22"/>
              </w:rPr>
              <w:t>B, C, D, E, F, G</w:t>
            </w:r>
          </w:p>
        </w:tc>
      </w:tr>
    </w:tbl>
    <w:p/>
    <w:p>
      <w:pPr>
        <w:spacing w:after="80"/>
      </w:pPr>
      <w:r>
        <w:rPr>
          <w:b/>
          <w:color w:val="373737"/>
          <w:sz w:val="18"/>
        </w:rPr>
        <w:t xml:space="preserve">Target DGS: </w:t>
      </w:r>
      <w:r>
        <w:rPr>
          <w:rFonts w:ascii="Courier New" w:hAnsi="Courier New"/>
          <w:color w:val="1F497D"/>
          <w:sz w:val="18"/>
        </w:rPr>
        <w:t>plm-product (co-located)</w:t>
      </w:r>
      <w:r>
        <w:rPr>
          <w:color w:val="444444"/>
          <w:sz w:val="18"/>
        </w:rPr>
        <w:t xml:space="preserve">   |   Generated: 2026-07-15</w:t>
      </w:r>
    </w:p>
    <w:p>
      <w:pPr>
        <w:spacing w:after="160"/>
      </w:pPr>
      <w:r>
        <w:rPr>
          <w:i/>
          <w:color w:val="444444"/>
          <w:sz w:val="16"/>
        </w:rPr>
        <w:t>🔷 Query · 🔶 Mutation · 🔸 Field Resolver   🔴 Very High · 🟠 High · 🟡 Medium · 🟢 Low   🔴🔬 spike-gated · 📖 B · 🔍 C · ✏️ D · ⚙️ E · 🔗 F · 🧪 G</w:t>
      </w:r>
    </w:p>
    <w:p>
      <w:pPr>
        <w:spacing w:before="240" w:after="80"/>
      </w:pPr>
      <w:r>
        <w:rPr>
          <w:b/>
          <w:color w:val="1F497D"/>
          <w:sz w:val="28"/>
        </w:rPr>
        <w:t>What Are We Building?</w:t>
      </w:r>
    </w:p>
    <w:p>
      <w:pPr>
        <w:spacing w:after="80"/>
      </w:pPr>
      <w:r>
        <w:rPr>
          <w:color w:val="373737"/>
          <w:sz w:val="20"/>
        </w:rPr>
        <w:t xml:space="preserve">- We are moving the </w:t>
      </w:r>
      <w:r>
        <w:rPr>
          <w:b/>
          <w:color w:val="373737"/>
          <w:sz w:val="20"/>
        </w:rPr>
        <w:t>Measurement</w:t>
      </w:r>
      <w:r>
        <w:rPr>
          <w:color w:val="373737"/>
          <w:sz w:val="20"/>
        </w:rPr>
        <w:t xml:space="preserve"> domain — measurement sets (the size/point-of-measure specs for a product), their sample measurements, and the master-data unit lists — off the </w:t>
      </w:r>
      <w:r>
        <w:rPr>
          <w:rFonts w:ascii="Courier New" w:hAnsi="Courier New"/>
          <w:sz w:val="20"/>
        </w:rPr>
        <w:t>spark-internal-graphql</w:t>
      </w:r>
      <w:r>
        <w:rPr>
          <w:color w:val="373737"/>
          <w:sz w:val="20"/>
        </w:rPr>
        <w:t xml:space="preserve"> gateway into the </w:t>
      </w:r>
      <w:r>
        <w:rPr>
          <w:b/>
          <w:color w:val="373737"/>
          <w:sz w:val="20"/>
        </w:rPr>
        <w:t>`plm-product`</w:t>
      </w:r>
      <w:r>
        <w:rPr>
          <w:color w:val="373737"/>
          <w:sz w:val="20"/>
        </w:rPr>
        <w:t xml:space="preserve"> DGS. - It is </w:t>
      </w:r>
      <w:r>
        <w:rPr>
          <w:b/>
          <w:color w:val="373737"/>
          <w:sz w:val="20"/>
        </w:rPr>
        <w:t>mid-sized and mid-low risk</w:t>
      </w:r>
      <w:r>
        <w:rPr>
          <w:color w:val="373737"/>
          <w:sz w:val="20"/>
        </w:rPr>
        <w:t xml:space="preserve">: 7 queries, 8 mutations, 15 field resolvers on a 175-line resolver, with </w:t>
      </w:r>
      <w:r>
        <w:rPr>
          <w:b/>
          <w:color w:val="373737"/>
          <w:sz w:val="20"/>
        </w:rPr>
        <w:t>no polymorphism</w:t>
      </w:r>
      <w:r>
        <w:rPr>
          <w:color w:val="373737"/>
          <w:sz w:val="20"/>
        </w:rPr>
        <w:t xml:space="preserve">. - The one genuinely harder piece is </w:t>
      </w:r>
      <w:r>
        <w:rPr>
          <w:rFonts w:ascii="Courier New" w:hAnsi="Courier New"/>
          <w:sz w:val="20"/>
        </w:rPr>
        <w:t>updateMeasurement</w:t>
      </w:r>
      <w:r>
        <w:rPr>
          <w:color w:val="373737"/>
          <w:sz w:val="20"/>
        </w:rPr>
        <w:t>, a 2-step write (workspace association, then body) with no rollback today.</w:t>
      </w:r>
    </w:p>
    <w:p>
      <w:pPr>
        <w:spacing w:after="80"/>
      </w:pPr>
      <w:r>
        <w:rPr>
          <w:rFonts w:ascii="Courier New" w:hAnsi="Courier New"/>
          <w:sz w:val="20"/>
        </w:rPr>
        <w:t>getMeasurements</w:t>
      </w:r>
      <w:r>
        <w:rPr>
          <w:color w:val="373737"/>
          <w:sz w:val="20"/>
        </w:rPr>
        <w:t xml:space="preserve"> depends on the </w:t>
      </w:r>
      <w:r>
        <w:rPr>
          <w:b/>
          <w:color w:val="373737"/>
          <w:sz w:val="20"/>
        </w:rPr>
        <w:t>relationship</w:t>
      </w:r>
      <w:r>
        <w:rPr>
          <w:color w:val="373737"/>
          <w:sz w:val="20"/>
        </w:rPr>
        <w:t xml:space="preserve"> service to find a product's measurement-set ids, and the template/size/tight-fit references are </w:t>
      </w:r>
      <w:r>
        <w:rPr>
          <w:b/>
          <w:color w:val="373737"/>
          <w:sz w:val="20"/>
        </w:rPr>
        <w:t>separate sibling domains</w:t>
      </w:r>
      <w:r>
        <w:rPr>
          <w:color w:val="373737"/>
          <w:sz w:val="20"/>
        </w:rPr>
        <w:t xml:space="preserve"> we only reference (not migrate here).</w:t>
      </w:r>
    </w:p>
    <w:p>
      <w:pPr>
        <w:spacing w:after="80"/>
      </w:pPr>
      <w:r>
        <w:rPr>
          <w:b/>
          <w:color w:val="373737"/>
          <w:sz w:val="20"/>
        </w:rPr>
        <w:t>ACL note:</w:t>
      </w:r>
      <w:r>
        <w:rPr>
          <w:color w:val="373737"/>
          <w:sz w:val="20"/>
        </w:rPr>
        <w:t xml:space="preserve"> the current code obtains per-resource capability tokens via ACL; Per the program-level working decision, </w:t>
      </w:r>
      <w:r>
        <w:rPr>
          <w:b/>
          <w:color w:val="373737"/>
          <w:sz w:val="20"/>
        </w:rPr>
        <w:t>the DGS layer carries no ACL plumbing story</w:t>
      </w:r>
      <w:r>
        <w:rPr>
          <w:color w:val="373737"/>
          <w:sz w:val="20"/>
        </w:rPr>
        <w:t xml:space="preserve"> — each domain service performs its own access control; scenario ADRs (</w:t>
      </w:r>
      <w:r>
        <w:rPr>
          <w:rFonts w:ascii="Courier New" w:hAnsi="Courier New"/>
          <w:sz w:val="20"/>
        </w:rPr>
        <w:t>complexStories/*/02-adr-noacl-*.md</w:t>
      </w:r>
      <w:r>
        <w:rPr>
          <w:color w:val="373737"/>
          <w:sz w:val="20"/>
        </w:rPr>
        <w:t>) record the assumption's impact and ratify with the global decision. ACL is noted in stories for context only.</w:t>
      </w:r>
    </w:p>
    <w:p>
      <w:pPr>
        <w:spacing w:before="240" w:after="80"/>
      </w:pPr>
      <w:r>
        <w:rPr>
          <w:b/>
          <w:color w:val="1F497D"/>
          <w:sz w:val="28"/>
        </w:rPr>
        <w:t>Migration Scope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Surface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Count</w:t>
            </w:r>
          </w:p>
        </w:tc>
        <w:tc>
          <w:tcPr>
            <w:shd w:val="clear" w:color="auto" w:fill="DAE8FC"/>
            <w:vAlign w:val="top"/>
            <w:tcW w:w="8352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Queries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cacheable master-data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6 simple + 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 xml:space="preserve"> (2-step) + add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Field-resolver type blocks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rFonts w:ascii="Courier New" w:hAnsi="Courier New"/>
                <w:sz w:val="18"/>
              </w:rPr>
              <w:t>Measurement</w:t>
            </w:r>
            <w:r>
              <w:rPr>
                <w:color w:val="373737"/>
                <w:sz w:val="18"/>
              </w:rPr>
              <w:t xml:space="preserve"> (13), </w:t>
            </w:r>
            <w:r>
              <w:rPr>
                <w:rFonts w:ascii="Courier New" w:hAnsi="Courier New"/>
                <w:sz w:val="18"/>
              </w:rPr>
              <w:t>SampleMeasurementSet</w:t>
            </w:r>
            <w:r>
              <w:rPr>
                <w:color w:val="373737"/>
                <w:sz w:val="18"/>
              </w:rPr>
              <w:t xml:space="preserve"> (2)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External dependencies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11 keys (2 🔴 · 6 🟡 · 3 🔵)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relationship/search 🔴; templates 🟡</w:t>
            </w:r>
          </w:p>
        </w:tc>
      </w:tr>
      <w:tr>
        <w:tc>
          <w:tcPr>
            <w:vAlign w:val="top"/>
            <w:tcW w:w="3168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(Product, SampleV2)</w:t>
            </w:r>
          </w:p>
        </w:tc>
        <w:tc>
          <w:tcPr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BLOCKED-BY product/sample</w:t>
            </w:r>
          </w:p>
        </w:tc>
      </w:tr>
      <w:tr>
        <w:tc>
          <w:tcPr>
            <w:shd w:val="clear" w:color="auto" w:fill="F5F8FF"/>
            <w:vAlign w:val="top"/>
            <w:tcW w:w="3168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 stories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shd w:val="clear" w:color="auto" w:fill="F5F8FF"/>
            <w:vAlign w:val="top"/>
            <w:tcW w:w="8352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green-field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Spikes &amp; Complex Cases</w:t>
      </w:r>
    </w:p>
    <w:p>
      <w:pPr>
        <w:spacing w:after="60"/>
      </w:pPr>
      <w:r>
        <w:rPr>
          <w:i/>
          <w:color w:val="444444"/>
          <w:sz w:val="18"/>
        </w:rPr>
        <w:t>This domain's complex, cross-cutting problems are tracked once as program spikes in the global breakdown — see 'Phase 0 — Program Spikes' and 'Spike Detail' (the brief, the decision, intended cross-domain steps, and every affected resolver's external deps + current logic) in Federated+Graphql+Stories+-+BreakDown. Nothing from there is repeated here; the stories below just link to it. Follow a story's SPIKE-0x id to the global Spike Detail for the target flow + the external services each resolver calls (see 'How to read the spikes &amp; related stories' in the global doc).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6623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Program spike</w:t>
            </w:r>
          </w:p>
        </w:tc>
        <w:tc>
          <w:tcPr>
            <w:shd w:val="clear" w:color="auto" w:fill="DAE8FC"/>
            <w:vAlign w:val="top"/>
            <w:tcW w:w="345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Bucket</w:t>
            </w:r>
          </w:p>
        </w:tc>
      </w:tr>
      <w:tr>
        <w:tc>
          <w:tcPr>
            <w:vAlign w:val="top"/>
            <w:tcW w:w="6623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🔴🔬 MST-BE-E-01 — updateMeasurement — 2-step orchestrated write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SPIKE-01</w:t>
            </w:r>
          </w:p>
        </w:tc>
        <w:tc>
          <w:tcPr>
            <w:vAlign w:val="top"/>
            <w:tcW w:w="345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Non-Atomic Write Saga</w:t>
            </w:r>
          </w:p>
        </w:tc>
      </w:tr>
    </w:tbl>
    <w:p/>
    <w:p>
      <w:pPr>
        <w:spacing w:after="120"/>
      </w:pPr>
      <w:r>
        <w:rPr>
          <w:i/>
          <w:color w:val="444444"/>
          <w:sz w:val="18"/>
        </w:rPr>
        <w:t>Simple, intuitive decisions (drift-op cleanup, dead-method audits, auth-token parity, sort/DTO shape) are resolved inline in the owning story — they are not spikes.</w:t>
      </w:r>
    </w:p>
    <w:p>
      <w:pPr>
        <w:spacing w:before="240" w:after="80"/>
      </w:pPr>
      <w:r>
        <w:rPr>
          <w:b/>
          <w:color w:val="1F497D"/>
          <w:sz w:val="28"/>
        </w:rPr>
        <w:t>Effort Snapshot by Phase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564"/>
        <w:gridCol w:w="2564"/>
        <w:gridCol w:w="2564"/>
        <w:gridCol w:w="2564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Phase</w:t>
            </w:r>
          </w:p>
        </w:tc>
        <w:tc>
          <w:tcPr>
            <w:shd w:val="clear" w:color="auto" w:fill="DAE8FC"/>
            <w:vAlign w:val="top"/>
            <w:tcW w:w="43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Name</w:t>
            </w:r>
          </w:p>
        </w:tc>
        <w:tc>
          <w:tcPr>
            <w:shd w:val="clear" w:color="auto" w:fill="DAE8FC"/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Effort (est., +20%)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Core Reads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5–9d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Mutations (simple)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7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8–14d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E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Complex (</w:t>
            </w:r>
            <w:r>
              <w:rPr>
                <w:rFonts w:ascii="Courier New" w:hAnsi="Courier New"/>
                <w:sz w:val="18"/>
              </w:rPr>
              <w:t>updateMeasurement</w:t>
            </w:r>
            <w:r>
              <w:rPr>
                <w:color w:val="373737"/>
                <w:sz w:val="18"/>
              </w:rPr>
              <w:t>)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4–7d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3–5d (BLOCKED-BY product/sample)</w:t>
            </w:r>
          </w:p>
        </w:tc>
      </w:tr>
      <w:tr>
        <w:tc>
          <w:tcPr>
            <w:shd w:val="clear" w:color="auto" w:fill="F5F8FF"/>
            <w:vAlign w:val="top"/>
            <w:tcW w:w="864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</w:t>
            </w:r>
          </w:p>
        </w:tc>
        <w:tc>
          <w:tcPr>
            <w:shd w:val="clear" w:color="auto" w:fill="F5F8FF"/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 &amp; Tests</w:t>
            </w:r>
          </w:p>
        </w:tc>
        <w:tc>
          <w:tcPr>
            <w:shd w:val="clear" w:color="auto" w:fill="F5F8FF"/>
            <w:vAlign w:val="top"/>
            <w:tcW w:w="1007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shd w:val="clear" w:color="auto" w:fill="F5F8FF"/>
            <w:vAlign w:val="top"/>
            <w:tcW w:w="360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8–13d</w:t>
            </w:r>
          </w:p>
        </w:tc>
      </w:tr>
      <w:tr>
        <w:tc>
          <w:tcPr>
            <w:vAlign w:val="top"/>
            <w:tcW w:w="864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Total</w:t>
            </w:r>
          </w:p>
        </w:tc>
        <w:tc>
          <w:tcPr>
            <w:vAlign w:val="top"/>
            <w:tcW w:w="43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—</w:t>
            </w:r>
          </w:p>
        </w:tc>
        <w:tc>
          <w:tcPr>
            <w:vAlign w:val="top"/>
            <w:tcW w:w="1007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20</w:t>
            </w:r>
          </w:p>
        </w:tc>
        <w:tc>
          <w:tcPr>
            <w:vAlign w:val="top"/>
            <w:tcW w:w="3600" w:type="dxa"/>
          </w:tcPr>
          <w:p>
            <w:pPr>
              <w:jc w:val="left"/>
            </w:pPr>
            <w:r>
              <w:rPr>
                <w:b/>
                <w:color w:val="373737"/>
                <w:sz w:val="18"/>
              </w:rPr>
              <w:t>32–55d</w:t>
            </w:r>
            <w:r>
              <w:rPr>
                <w:color w:val="373737"/>
                <w:sz w:val="18"/>
              </w:rPr>
              <w:t xml:space="preserve"> (buffered)</w:t>
            </w:r>
          </w:p>
        </w:tc>
      </w:tr>
    </w:tbl>
    <w:p/>
    <w:p>
      <w:r>
        <w:rPr>
          <w:sz w:val="18"/>
        </w:rPr>
        <w:t xml:space="preserve">ℹ️  </w:t>
      </w:r>
      <w:r>
        <w:rPr>
          <w:color w:val="444444"/>
          <w:sz w:val="18"/>
        </w:rPr>
        <w:t xml:space="preserve">One engineer ≈ </w:t>
      </w:r>
      <w:r>
        <w:rPr>
          <w:b/>
          <w:color w:val="444444"/>
          <w:sz w:val="18"/>
        </w:rPr>
        <w:t>7–11 sprints</w:t>
      </w:r>
      <w:r>
        <w:rPr>
          <w:color w:val="444444"/>
          <w:sz w:val="18"/>
        </w:rPr>
        <w:t>.</w:t>
      </w:r>
    </w:p>
    <w:p>
      <w:pPr>
        <w:spacing w:before="240" w:after="80"/>
      </w:pPr>
      <w:r>
        <w:rPr>
          <w:b/>
          <w:color w:val="373737"/>
          <w:sz w:val="24"/>
        </w:rPr>
        <w:t>Capacity Planning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Team size</w:t>
            </w:r>
          </w:p>
        </w:tc>
        <w:tc>
          <w:tcPr>
            <w:shd w:val="clear" w:color="auto" w:fill="DAE8FC"/>
            <w:vAlign w:val="top"/>
            <w:tcW w:w="288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Calendar</w:t>
            </w:r>
          </w:p>
        </w:tc>
        <w:tc>
          <w:tcPr>
            <w:shd w:val="clear" w:color="auto" w:fill="DAE8FC"/>
            <w:vAlign w:val="top"/>
            <w:tcW w:w="57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Notes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 engineer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~8–14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sequential</w:t>
            </w:r>
          </w:p>
        </w:tc>
      </w:tr>
      <w:tr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 engineers</w:t>
            </w:r>
          </w:p>
        </w:tc>
        <w:tc>
          <w:tcPr>
            <w:shd w:val="clear" w:color="auto" w:fill="F5F8FF"/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~5–8 sprints</w:t>
            </w:r>
          </w:p>
        </w:tc>
        <w:tc>
          <w:tcPr>
            <w:shd w:val="clear" w:color="auto" w:fill="F5F8FF"/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reads + mutations parallel</w:t>
            </w:r>
          </w:p>
        </w:tc>
      </w:tr>
      <w:tr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 engineers</w:t>
            </w:r>
          </w:p>
        </w:tc>
        <w:tc>
          <w:tcPr>
            <w:vAlign w:val="top"/>
            <w:tcW w:w="288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~4–6 sprints</w:t>
            </w:r>
          </w:p>
        </w:tc>
        <w:tc>
          <w:tcPr>
            <w:vAlign w:val="top"/>
            <w:tcW w:w="57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critical path A → E-01 → G-01 → G-03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Recommended Sprint Sequencing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19"/>
        <w:gridCol w:w="3419"/>
        <w:gridCol w:w="3419"/>
      </w:tblGrid>
      <w:tr>
        <w:trPr>
          <w:trHeight w:val="360" w:hRule="atLeast"/>
        </w:trPr>
        <w:tc>
          <w:tcPr>
            <w:shd w:val="clear" w:color="auto" w:fill="DAE8FC"/>
            <w:vAlign w:val="top"/>
            <w:tcW w:w="1296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Sprint</w:t>
            </w:r>
          </w:p>
        </w:tc>
        <w:tc>
          <w:tcPr>
            <w:shd w:val="clear" w:color="auto" w:fill="DAE8FC"/>
            <w:vAlign w:val="top"/>
            <w:tcW w:w="216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Stories</w:t>
            </w:r>
          </w:p>
        </w:tc>
        <w:tc>
          <w:tcPr>
            <w:shd w:val="clear" w:color="auto" w:fill="DAE8FC"/>
            <w:vAlign w:val="top"/>
            <w:tcW w:w="7920" w:type="dxa"/>
          </w:tcPr>
          <w:p>
            <w:pPr>
              <w:jc w:val="left"/>
            </w:pPr>
            <w:r>
              <w:rPr>
                <w:b/>
                <w:color w:val="1F3864"/>
                <w:sz w:val="18"/>
              </w:rPr>
              <w:t>Focus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1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B-01 (DGS module init + service wiring + first resolver)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schema, service port, reads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2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C-01/C-02 + D-01–D-04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listing + simple mutations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3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D-05–D-07 + E-01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 xml:space="preserve">remaining mutations + </w:t>
            </w:r>
            <w:r>
              <w:rPr>
                <w:rFonts w:ascii="Courier New" w:hAnsi="Courier New"/>
                <w:sz w:val="18"/>
              </w:rPr>
              <w:t>updateMeasurement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4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G-01–G-02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field resolvers</w:t>
            </w:r>
          </w:p>
        </w:tc>
      </w:tr>
      <w:tr>
        <w:tc>
          <w:tcPr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5</w:t>
            </w:r>
          </w:p>
        </w:tc>
        <w:tc>
          <w:tcPr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G-03</w:t>
            </w:r>
          </w:p>
        </w:tc>
        <w:tc>
          <w:tcPr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tests &amp; parity</w:t>
            </w:r>
          </w:p>
        </w:tc>
      </w:tr>
      <w:tr>
        <w:tc>
          <w:tcPr>
            <w:shd w:val="clear" w:color="auto" w:fill="F5F8FF"/>
            <w:vAlign w:val="top"/>
            <w:tcW w:w="1296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post-launch</w:t>
            </w:r>
          </w:p>
        </w:tc>
        <w:tc>
          <w:tcPr>
            <w:shd w:val="clear" w:color="auto" w:fill="F5F8FF"/>
            <w:vAlign w:val="top"/>
            <w:tcW w:w="216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F-01, F-02</w:t>
            </w:r>
          </w:p>
        </w:tc>
        <w:tc>
          <w:tcPr>
            <w:shd w:val="clear" w:color="auto" w:fill="F5F8FF"/>
            <w:vAlign w:val="top"/>
            <w:tcW w:w="7920" w:type="dxa"/>
          </w:tcPr>
          <w:p>
            <w:pPr>
              <w:jc w:val="left"/>
            </w:pPr>
            <w:r>
              <w:rPr>
                <w:color w:val="373737"/>
                <w:sz w:val="18"/>
              </w:rPr>
              <w:t>federation contributions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8"/>
        </w:rPr>
        <w:t>Jira Stories by Phase</w:t>
      </w:r>
    </w:p>
    <w:p>
      <w:pPr>
        <w:spacing w:after="120"/>
      </w:pPr>
      <w:r>
        <w:rPr>
          <w:i/>
          <w:color w:val="444444"/>
          <w:sz w:val="18"/>
        </w:rPr>
        <w:t>Each row is one Jira story. Complexity drives T-shirt sizing in refinement. 'Depends On' lists blocking story IDs within this domain.</w:t>
      </w:r>
    </w:p>
    <w:p>
      <w:pPr>
        <w:spacing w:before="200" w:after="60"/>
        <w:shd w:val="clear" w:color="auto" w:fill="D6E4F0"/>
      </w:pPr>
      <w:r>
        <w:rPr>
          <w:b/>
          <w:color w:val="1F3864"/>
          <w:sz w:val="22"/>
        </w:rPr>
        <w:t>📖 Phase B — Core Reads  (5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getMeasurementByIds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—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measurement sets by id.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measurements for ids with </w:t>
            </w:r>
            <w:r>
              <w:rPr>
                <w:rFonts w:ascii="Courier New" w:hAnsi="Courier New"/>
                <w:sz w:val="17"/>
              </w:rPr>
              <w:t>calculated</w:t>
            </w:r>
            <w:r>
              <w:rPr>
                <w:color w:val="373737"/>
                <w:sz w:val="17"/>
              </w:rPr>
              <w:t xml:space="preserve"> flag forwarded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ids → </w:t>
            </w:r>
            <w:r>
              <w:rPr>
                <w:rFonts w:ascii="Courier New" w:hAnsi="Courier New"/>
                <w:sz w:val="17"/>
              </w:rPr>
              <w:t>[]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snake→camel mapping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unit-of-measure lookup list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 camelCase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UoM list (optionally filtered by ids)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getThicknessUnitsOfMeasure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thickness unit-of-measure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units_of_measure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thickness UoM list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getMeasurementSetStatus</w:t>
            </w:r>
            <w:r>
              <w:rPr>
                <w:color w:val="373737"/>
                <w:sz w:val="17"/>
              </w:rPr>
              <w:t xml:space="preserve"> (cacheable)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Return the measurement-set status lookup (cached).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{key:value} map → [{code, description}]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statuses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Cached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key→code, value→description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MST-BE-B-05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getSampleMeasurement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Fetch the measurement set for a sample.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GET … → camelCase.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the sample measurement set for </w:t>
            </w:r>
            <w:r>
              <w:rPr>
                <w:rFonts w:ascii="Courier New" w:hAnsi="Courier New"/>
                <w:sz w:val="17"/>
              </w:rPr>
              <w:t>sampleId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Not found → </w:t>
            </w:r>
            <w:r>
              <w:rPr>
                <w:rFonts w:ascii="Courier New" w:hAnsi="Courier New"/>
                <w:sz w:val="17"/>
              </w:rPr>
              <w:t>null</w:t>
            </w:r>
          </w:p>
        </w:tc>
      </w:tr>
    </w:tbl>
    <w:p/>
    <w:p>
      <w:pPr>
        <w:spacing w:after="40"/>
        <w:ind w:left="216"/>
      </w:pPr>
      <w:r>
        <w:rPr>
          <w:sz w:val="18"/>
        </w:rPr>
        <w:t xml:space="preserve">ℹ️  </w:t>
      </w:r>
      <w:r>
        <w:rPr>
          <w:color w:val="444444"/>
          <w:sz w:val="17"/>
        </w:rPr>
        <w:t xml:space="preserve">MST-BE-B-01: </w:t>
      </w:r>
      <w:r>
        <w:rPr>
          <w:b/>
          <w:color w:val="444444"/>
          <w:sz w:val="17"/>
        </w:rPr>
        <w:t>Note — DGS Module Init (this PR only):</w:t>
      </w:r>
      <w:r>
        <w:rPr>
          <w:color w:val="444444"/>
          <w:sz w:val="17"/>
        </w:rPr>
        <w:t xml:space="preserve"> Creates </w:t>
      </w:r>
      <w:r>
        <w:rPr>
          <w:rFonts w:ascii="Courier New" w:hAnsi="Courier New"/>
          <w:sz w:val="17"/>
        </w:rPr>
        <w:t>measurement.graphqls</w:t>
      </w:r>
      <w:r>
        <w:rPr>
          <w:color w:val="444444"/>
          <w:sz w:val="17"/>
        </w:rPr>
        <w:t xml:space="preserve"> (federation v2.3 header, scalars, owned types with </w:t>
      </w:r>
      <w:r>
        <w:rPr>
          <w:rFonts w:ascii="Courier New" w:hAnsi="Courier New"/>
          <w:sz w:val="17"/>
        </w:rPr>
        <w:t>@key</w:t>
      </w:r>
      <w:r>
        <w:rPr>
          <w:color w:val="444444"/>
          <w:sz w:val="17"/>
        </w:rPr>
        <w:t xml:space="preserve">, external stubs), registers scalars in </w:t>
      </w:r>
      <w:r>
        <w:rPr>
          <w:rFonts w:ascii="Courier New" w:hAnsi="Courier New"/>
          <w:sz w:val="17"/>
        </w:rPr>
        <w:t>ScalarConfig.kt</w:t>
      </w:r>
      <w:r>
        <w:rPr>
          <w:color w:val="444444"/>
          <w:sz w:val="17"/>
        </w:rPr>
        <w:t>, and wires the service and Feign client. Full type list: [03-schema.graphql](./03-schema.graphql).</w:t>
      </w:r>
    </w:p>
    <w:p/>
    <w:p>
      <w:pPr>
        <w:spacing w:before="200" w:after="60"/>
        <w:shd w:val="clear" w:color="auto" w:fill="D6EDDA"/>
      </w:pPr>
      <w:r>
        <w:rPr>
          <w:b/>
          <w:color w:val="1A4731"/>
          <w:sz w:val="22"/>
        </w:rPr>
        <w:t>🔍 Phase C — Search &amp; Listing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data fetcher (relationship + listing)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List a resource's measurement sets (resolves the relationship first).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relationships = relationship.findRelationships(resourceId, {includeNodeTypes:['measurement_set'], maxDepth:0}). 2. ids = relationships.map(n =&gt; n.id); if empty → [].…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Resolves ids via relationship then fetches measurements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No ids → </w:t>
            </w:r>
            <w:r>
              <w:rPr>
                <w:rFonts w:ascii="Courier New" w:hAnsi="Courier New"/>
                <w:sz w:val="17"/>
              </w:rPr>
              <w:t>{content:[]}</w:t>
            </w:r>
            <w:r>
              <w:rPr>
                <w:color w:val="373737"/>
                <w:sz w:val="17"/>
              </w:rPr>
              <w:t xml:space="preserve"> (no measurement call)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  <w:r>
              <w:rPr>
                <w:color w:val="373737"/>
                <w:sz w:val="17"/>
              </w:rPr>
              <w:t xml:space="preserve"> (location documented)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🔷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MST-BE-C-02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getMeasurementsElastic</w:t>
            </w:r>
            <w:r>
              <w:rPr>
                <w:color w:val="373737"/>
                <w:sz w:val="17"/>
              </w:rPr>
              <w:t xml:space="preserve"> data fetcher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Query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search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Search a product's measurement sets via elastic.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{content} = search.getMeasurementSets → sort createdAt DESC → {content}. - EXT Service Calls: EXT → key: search · severity: — elastic measurement-set index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elastic content for </w:t>
            </w:r>
            <w:r>
              <w:rPr>
                <w:rFonts w:ascii="Courier New" w:hAnsi="Courier New"/>
                <w:sz w:val="17"/>
              </w:rPr>
              <w:t>parentId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Sorted </w:t>
            </w:r>
            <w:r>
              <w:rPr>
                <w:rFonts w:ascii="Courier New" w:hAnsi="Courier New"/>
                <w:sz w:val="17"/>
              </w:rPr>
              <w:t>createdAt DESC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Empty → </w:t>
            </w:r>
            <w:r>
              <w:rPr>
                <w:rFonts w:ascii="Courier New" w:hAnsi="Courier New"/>
                <w:sz w:val="17"/>
              </w:rPr>
              <w:t>{content:[]}</w:t>
            </w:r>
          </w:p>
        </w:tc>
      </w:tr>
    </w:tbl>
    <w:p/>
    <w:p>
      <w:pPr>
        <w:spacing w:before="200" w:after="60"/>
        <w:shd w:val="clear" w:color="auto" w:fill="FFF3CD"/>
      </w:pPr>
      <w:r>
        <w:rPr>
          <w:b/>
          <w:color w:val="7D5002"/>
          <w:sz w:val="22"/>
        </w:rPr>
        <w:t>✏️ Phase D — Mutations  (7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addMeasurement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POST … (snake_case request, primeKey: humanId); on validationErrors\|\|message → throw. No ACL (new resource)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POST creates + returns mapped </w:t>
            </w:r>
            <w:r>
              <w:rPr>
                <w:rFonts w:ascii="Courier New" w:hAnsi="Courier New"/>
                <w:sz w:val="17"/>
              </w:rPr>
              <w:t>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with </w:t>
            </w:r>
            <w:r>
              <w:rPr>
                <w:rFonts w:ascii="Courier New" w:hAnsi="Courier New"/>
                <w:sz w:val="17"/>
              </w:rPr>
              <w:t>humanId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updateMeasurementAccess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Change who can access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…/{id}/permission body {systemTeamIds} or {systemTeamDto} (whichever provided).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Sends </w:t>
            </w:r>
            <w:r>
              <w:rPr>
                <w:rFonts w:ascii="Courier New" w:hAnsi="Courier New"/>
                <w:sz w:val="17"/>
              </w:rPr>
              <w:t>{systemTeamIds}</w:t>
            </w:r>
            <w:r>
              <w:rPr>
                <w:color w:val="373737"/>
                <w:sz w:val="17"/>
              </w:rPr>
              <w:t xml:space="preserve"> when provided, else </w:t>
            </w:r>
            <w:r>
              <w:rPr>
                <w:rFonts w:ascii="Courier New" w:hAnsi="Courier New"/>
                <w:sz w:val="17"/>
              </w:rPr>
              <w:t>{systemTeamDto}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Returns updated measurement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Input-shape decision recorded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MST-BE-D-03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Lock a measurement set from edits.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…/{id}/lock.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/lock</w:t>
            </w:r>
            <w:r>
              <w:rPr>
                <w:color w:val="373737"/>
                <w:sz w:val="17"/>
              </w:rPr>
              <w:t xml:space="preserve"> returns 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MST-BE-D-04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unlockMeasurementSet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Unlock a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…/{id}/unlock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</w:t>
            </w:r>
            <w:r>
              <w:rPr>
                <w:rFonts w:ascii="Courier New" w:hAnsi="Courier New"/>
                <w:sz w:val="17"/>
              </w:rPr>
              <w:t>/unlock</w:t>
            </w:r>
            <w:r>
              <w:rPr>
                <w:color w:val="373737"/>
                <w:sz w:val="17"/>
              </w:rPr>
              <w:t xml:space="preserve"> returns unlocked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MST-BE-D-05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updateMeasurementComponentStatus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Update the component status on measurement sets.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…/component_status_update body {productId, ids, status}. No ACL token — confirm backend enforces (like BOM D-05)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PUT sends </w:t>
            </w:r>
            <w:r>
              <w:rPr>
                <w:rFonts w:ascii="Courier New" w:hAnsi="Courier New"/>
                <w:sz w:val="17"/>
              </w:rPr>
              <w:t>{productId, ids, status}</w:t>
            </w:r>
            <w:r>
              <w:rPr>
                <w:color w:val="373737"/>
                <w:sz w:val="17"/>
              </w:rPr>
              <w:t xml:space="preserve"> snake_case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Returns </w:t>
            </w:r>
            <w:r>
              <w:rPr>
                <w:rFonts w:ascii="Courier New" w:hAnsi="Courier New"/>
                <w:sz w:val="17"/>
              </w:rPr>
              <w:t>MeasurementPaged{content}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Auth decision recorded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MST-BE-D-06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putSampleMeasurementSet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Create or replace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PUT …/sample (primeKey: sampleId); token for [measurementSetId, sampleId]; on validationErrors\|\|message → throw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PUT upserts the sample set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Cache primed by </w:t>
            </w:r>
            <w:r>
              <w:rPr>
                <w:rFonts w:ascii="Courier New" w:hAnsi="Courier New"/>
                <w:sz w:val="17"/>
              </w:rPr>
              <w:t>sampleId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MST-BE-D-07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deleteSampleMeasurementSet</w:t>
            </w:r>
            <w:r>
              <w:rPr>
                <w:color w:val="373737"/>
                <w:sz w:val="17"/>
              </w:rPr>
              <w:t xml:space="preserve"> mutation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Delete a sample's measurement set.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DELETE …/sample/{sampleId}. ignored in DGS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DELETE removes the sample set; returns the deleted/empty result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404 → null</w:t>
            </w:r>
          </w:p>
        </w:tc>
      </w:tr>
    </w:tbl>
    <w:p/>
    <w:p>
      <w:pPr>
        <w:spacing w:before="200" w:after="60"/>
        <w:shd w:val="clear" w:color="auto" w:fill="FFE0CC"/>
      </w:pPr>
      <w:r>
        <w:rPr>
          <w:b/>
          <w:color w:val="7A2104"/>
          <w:sz w:val="22"/>
        </w:rPr>
        <w:t>⚙️ Phase E — Complex Operations  (1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709"/>
        <w:gridCol w:w="1709"/>
        <w:gridCol w:w="1709"/>
        <w:gridCol w:w="1709"/>
        <w:gridCol w:w="1709"/>
        <w:gridCol w:w="1709"/>
      </w:tblGrid>
      <w:tr>
        <w:trPr>
          <w:trHeight w:val="320" w:hRule="atLeast"/>
        </w:trPr>
        <w:tc>
          <w:tcPr>
            <w:shd w:val="clear" w:color="auto" w:fill="DAE8FC"/>
            <w:tcW w:w="2304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08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655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29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4320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Key Tests</w:t>
            </w:r>
          </w:p>
        </w:tc>
      </w:tr>
      <w:tr>
        <w:tc>
          <w:tcPr>
            <w:tcW w:w="2304" w:type="dxa"/>
          </w:tcPr>
          <w:p>
            <w:pPr>
              <w:spacing w:after="20"/>
            </w:pPr>
            <w:r>
              <w:rPr>
                <w:sz w:val="18"/>
              </w:rPr>
              <w:t xml:space="preserve">🔴🔬 </w:t>
            </w:r>
            <w:r>
              <w:rPr>
                <w:sz w:val="18"/>
              </w:rPr>
              <w:t xml:space="preserve">🔶 </w:t>
            </w:r>
            <w:r>
              <w:rPr>
                <w:rFonts w:ascii="Courier New" w:hAnsi="Courier New"/>
                <w:b/>
                <w:color w:val="C0392B"/>
                <w:sz w:val="17"/>
              </w:rPr>
              <w:t>MST-BE-E-01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— 2-step orchestrated write</w:t>
            </w:r>
          </w:p>
          <w:p>
            <w:pPr>
              <w:spacing w:after="20"/>
            </w:pPr>
            <w:r>
              <w:rPr>
                <w:i/>
                <w:color w:val="C0392B"/>
                <w:sz w:val="16"/>
              </w:rPr>
              <w:t>🔴🔬 Spike-gated on SPIKE-01 (Non-Atomic Write Saga)</w:t>
            </w:r>
          </w:p>
        </w:tc>
        <w:tc>
          <w:tcPr>
            <w:tcW w:w="1080" w:type="dxa"/>
          </w:tcPr>
          <w:p>
            <w:pPr>
              <w:spacing w:after="20"/>
            </w:pPr>
            <w:r>
              <w:rPr>
                <w:color w:val="D35400"/>
                <w:sz w:val="17"/>
              </w:rPr>
              <w:t>🟠 High [L]</w:t>
            </w:r>
          </w:p>
        </w:tc>
        <w:tc>
          <w:tcPr>
            <w:tcW w:w="1655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Mutation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</w:t>
            </w:r>
          </w:p>
        </w:tc>
        <w:tc>
          <w:tcPr>
            <w:tcW w:w="1296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SPIKE-01, B-01</w:t>
            </w:r>
          </w:p>
        </w:tc>
        <w:tc>
          <w:tcPr>
            <w:tcW w:w="4320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Edit a measurement set — a 2-step write (workspace + body) that has no rollback today.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workspaceAssociations = sparkMeasurement.updateWorkspaceAssociations \|\| {}. token for [humanId]. 2. If add/remove workspaces → workspaceAssociationHelper(MEASUREMENT…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for 3 fixtures: body-only; body+workspace-add; body+workspace-remove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Workspace step runs before body PUT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Body PUT omits </w:t>
            </w:r>
            <w:r>
              <w:rPr>
                <w:rFonts w:ascii="Courier New" w:hAnsi="Courier New"/>
                <w:sz w:val="17"/>
              </w:rPr>
              <w:t>humanId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Chosen failure strategy implemented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validationErrors</w:t>
            </w:r>
            <w:r>
              <w:rPr>
                <w:color w:val="373737"/>
                <w:sz w:val="17"/>
              </w:rPr>
              <w:t>/</w:t>
            </w:r>
            <w:r>
              <w:rPr>
                <w:rFonts w:ascii="Courier New" w:hAnsi="Courier New"/>
                <w:sz w:val="17"/>
              </w:rPr>
              <w:t>message</w:t>
            </w:r>
            <w:r>
              <w:rPr>
                <w:color w:val="373737"/>
                <w:sz w:val="17"/>
              </w:rPr>
              <w:t xml:space="preserve"> → exception</w:t>
            </w:r>
          </w:p>
        </w:tc>
        <w:tc>
          <w:tcPr>
            <w:tcW w:w="2448" w:type="dxa"/>
          </w:tcPr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order workspace→body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no-workspace skip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Unit: body-failure path</w:t>
            </w:r>
          </w:p>
          <w:p>
            <w:pPr>
              <w:spacing w:after="20"/>
            </w:pPr>
            <w:r>
              <w:rPr>
                <w:sz w:val="17"/>
              </w:rPr>
              <w:t xml:space="preserve">☐  </w:t>
            </w:r>
            <w:r>
              <w:rPr>
                <w:color w:val="373737"/>
                <w:sz w:val="17"/>
              </w:rPr>
              <w:t>Parity: 3 fixtures</w:t>
            </w:r>
          </w:p>
        </w:tc>
      </w:tr>
    </w:tbl>
    <w:p/>
    <w:p>
      <w:pPr>
        <w:spacing w:before="200" w:after="60"/>
        <w:shd w:val="clear" w:color="auto" w:fill="EDE0F8"/>
      </w:pPr>
      <w:r>
        <w:rPr>
          <w:b/>
          <w:color w:val="4A0F7A"/>
          <w:sz w:val="22"/>
        </w:rPr>
        <w:t>🔗 Phase F — Federation &amp; Stitching  (2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MST-BE-F-01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Implement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(internal)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relationship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Expose a product's measurement sets on the Product type.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product navigates to measurement sets via the relationship + getMeasurements flow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Product.measurementSets</w:t>
            </w:r>
            <w:r>
              <w:rPr>
                <w:color w:val="373737"/>
                <w:sz w:val="17"/>
              </w:rPr>
              <w:t xml:space="preserve"> resolves internally via </w:t>
            </w:r>
            <w:r>
              <w:rPr>
                <w:rFonts w:ascii="Courier New" w:hAnsi="Courier New"/>
                <w:sz w:val="17"/>
              </w:rPr>
              <w:t>measurementService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no gateway hop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 product resolver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MST-BE-F-02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 xml:space="preserve">Contribute </w:t>
            </w:r>
            <w:r>
              <w:rPr>
                <w:rFonts w:ascii="Courier New" w:hAnsi="Courier New"/>
                <w:sz w:val="17"/>
              </w:rPr>
              <w:t>sampleMeasurement</w:t>
            </w:r>
            <w:r>
              <w:rPr>
                <w:color w:val="373737"/>
                <w:sz w:val="17"/>
              </w:rPr>
              <w:t xml:space="preserve"> to the </w:t>
            </w:r>
            <w:r>
              <w:rPr>
                <w:rFonts w:ascii="Courier New" w:hAnsi="Courier New"/>
                <w:sz w:val="17"/>
              </w:rPr>
              <w:t>SampleV2</w:t>
            </w:r>
            <w:r>
              <w:rPr>
                <w:color w:val="373737"/>
                <w:sz w:val="17"/>
              </w:rPr>
              <w:t xml:space="preserve"> entity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Contribute a sample's measurement set to the Sample entity.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sample navigates to its measurement set via getSampleMeasurement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SampleV2.sampleMeasurement</w:t>
            </w:r>
            <w:r>
              <w:rPr>
                <w:color w:val="373737"/>
                <w:sz w:val="17"/>
              </w:rPr>
              <w:t xml:space="preserve"> resolves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Parity vs current</w:t>
            </w:r>
          </w:p>
        </w:tc>
      </w:tr>
    </w:tbl>
    <w:p/>
    <w:p>
      <w:pPr>
        <w:spacing w:before="200" w:after="60"/>
        <w:shd w:val="clear" w:color="auto" w:fill="D4EFDF"/>
      </w:pPr>
      <w:r>
        <w:rPr>
          <w:b/>
          <w:color w:val="0A4023"/>
          <w:sz w:val="22"/>
        </w:rPr>
        <w:t>🧪 Phase G — Field Resolvers &amp; Tests  (3 stories)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051"/>
        <w:gridCol w:w="2051"/>
        <w:gridCol w:w="2051"/>
        <w:gridCol w:w="2051"/>
        <w:gridCol w:w="2051"/>
      </w:tblGrid>
      <w:tr>
        <w:trPr>
          <w:trHeight w:val="320" w:hRule="atLeast"/>
        </w:trPr>
        <w:tc>
          <w:tcPr>
            <w:shd w:val="clear" w:color="auto" w:fill="DAE8FC"/>
            <w:tcW w:w="244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Story</w:t>
            </w:r>
          </w:p>
        </w:tc>
        <w:tc>
          <w:tcPr>
            <w:shd w:val="clear" w:color="auto" w:fill="DAE8FC"/>
            <w:tcW w:w="115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Complexity</w:t>
            </w:r>
          </w:p>
        </w:tc>
        <w:tc>
          <w:tcPr>
            <w:shd w:val="clear" w:color="auto" w:fill="DAE8FC"/>
            <w:tcW w:w="1872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Type / Calls</w:t>
            </w:r>
          </w:p>
        </w:tc>
        <w:tc>
          <w:tcPr>
            <w:shd w:val="clear" w:color="auto" w:fill="DAE8FC"/>
            <w:tcW w:w="1368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Depends On</w:t>
            </w:r>
          </w:p>
        </w:tc>
        <w:tc>
          <w:tcPr>
            <w:shd w:val="clear" w:color="auto" w:fill="DAE8FC"/>
            <w:tcW w:w="5976" w:type="dxa"/>
          </w:tcPr>
          <w:p>
            <w:pPr>
              <w:spacing w:after="20"/>
            </w:pPr>
            <w:r>
              <w:rPr>
                <w:b/>
                <w:color w:val="1F3864"/>
                <w:sz w:val="18"/>
              </w:rPr>
              <w:t>Acceptance Criteria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MST-BE-G-01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Measurement</w:t>
            </w:r>
            <w:r>
              <w:rPr>
                <w:color w:val="373737"/>
                <w:sz w:val="17"/>
              </w:rPr>
              <w:t xml:space="preserve"> field resolvers (13 fields)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workspaceV2, sampleV2, measurementTemplate, sizeTemplate, tightFit, vmm, userAttributes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everyday measurement fields (people, product, partners).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access/currentUserPermissions , businessPartners (loadBps), createdBy/updatedBy (getUserByIDOrNullIfNotFound), product (PID-prefixed → internal product.getByID)…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All 13 fields resolve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product</w:t>
            </w:r>
            <w:r>
              <w:rPr>
                <w:color w:val="373737"/>
                <w:sz w:val="17"/>
              </w:rPr>
              <w:t xml:space="preserve"> null when </w:t>
            </w:r>
            <w:r>
              <w:rPr>
                <w:rFonts w:ascii="Courier New" w:hAnsi="Courier New"/>
                <w:sz w:val="17"/>
              </w:rPr>
              <w:t>resourceId</w:t>
            </w:r>
            <w:r>
              <w:rPr>
                <w:color w:val="373737"/>
                <w:sz w:val="17"/>
              </w:rPr>
              <w:t xml:space="preserve"> not </w:t>
            </w:r>
            <w:r>
              <w:rPr>
                <w:rFonts w:ascii="Courier New" w:hAnsi="Courier New"/>
                <w:sz w:val="17"/>
              </w:rPr>
              <w:t>PID*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status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{statusId, statusName}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workspaces</w:t>
            </w:r>
            <w:r>
              <w:rPr>
                <w:color w:val="373737"/>
                <w:sz w:val="17"/>
              </w:rPr>
              <w:t xml:space="preserve"> empty → null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updatedFromResource</w:t>
            </w:r>
            <w:r>
              <w:rPr>
                <w:color w:val="373737"/>
                <w:sz w:val="17"/>
              </w:rPr>
              <w:t xml:space="preserve"> resolves only for </w:t>
            </w:r>
            <w:r>
              <w:rPr>
                <w:rFonts w:ascii="Courier New" w:hAnsi="Courier New"/>
                <w:sz w:val="17"/>
              </w:rPr>
              <w:t>type==='sample'</w:t>
            </w:r>
          </w:p>
        </w:tc>
      </w:tr>
      <w:tr>
        <w:tc>
          <w:tcPr>
            <w:shd w:val="clear" w:color="auto" w:fill="F5F8FF"/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🔸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MST-BE-G-02</w:t>
            </w:r>
          </w:p>
          <w:p>
            <w:pPr>
              <w:spacing w:after="20"/>
            </w:pPr>
            <w:r>
              <w:rPr>
                <w:rFonts w:ascii="Courier New" w:hAnsi="Courier New"/>
                <w:sz w:val="17"/>
              </w:rPr>
              <w:t>SampleMeasurementSet</w:t>
            </w:r>
            <w:r>
              <w:rPr>
                <w:color w:val="373737"/>
                <w:sz w:val="17"/>
              </w:rPr>
              <w:t xml:space="preserve"> field resolvers (2 fields)</w:t>
            </w:r>
          </w:p>
        </w:tc>
        <w:tc>
          <w:tcPr>
            <w:shd w:val="clear" w:color="auto" w:fill="F5F8FF"/>
            <w:tcW w:w="1152" w:type="dxa"/>
          </w:tcPr>
          <w:p>
            <w:pPr>
              <w:spacing w:after="20"/>
            </w:pPr>
            <w:r>
              <w:rPr>
                <w:color w:val="1E7A34"/>
                <w:sz w:val="17"/>
              </w:rPr>
              <w:t>🟢 Low [XS]</w:t>
            </w:r>
          </w:p>
        </w:tc>
        <w:tc>
          <w:tcPr>
            <w:shd w:val="clear" w:color="auto" w:fill="F5F8FF"/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Field Resolver</w:t>
            </w:r>
          </w:p>
          <w:p>
            <w:pPr>
              <w:spacing w:after="20"/>
            </w:pPr>
            <w:r>
              <w:rPr>
                <w:color w:val="444444"/>
                <w:sz w:val="16"/>
              </w:rPr>
              <w:t xml:space="preserve">Calls: </w:t>
            </w:r>
            <w:r>
              <w:rPr>
                <w:color w:val="373737"/>
                <w:sz w:val="16"/>
              </w:rPr>
              <w:t>userAttributes</w:t>
            </w:r>
          </w:p>
        </w:tc>
        <w:tc>
          <w:tcPr>
            <w:shd w:val="clear" w:color="auto" w:fill="F5F8FF"/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</w:t>
            </w:r>
          </w:p>
        </w:tc>
        <w:tc>
          <w:tcPr>
            <w:shd w:val="clear" w:color="auto" w:fill="F5F8FF"/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Resolve the sample-measurement-set fields.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2 @DgsData fields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createdBy</w:t>
            </w:r>
            <w:r>
              <w:rPr>
                <w:color w:val="373737"/>
                <w:sz w:val="17"/>
              </w:rPr>
              <w:t xml:space="preserve"> resolves by user id (null id → null)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measurementSizeId</w:t>
            </w:r>
            <w:r>
              <w:rPr>
                <w:color w:val="373737"/>
                <w:sz w:val="17"/>
              </w:rPr>
              <w:t xml:space="preserve"> = </w:t>
            </w:r>
            <w:r>
              <w:rPr>
                <w:rFonts w:ascii="Courier New" w:hAnsi="Courier New"/>
                <w:sz w:val="17"/>
              </w:rPr>
              <w:t>measurementSize.code</w:t>
            </w:r>
          </w:p>
        </w:tc>
      </w:tr>
      <w:tr>
        <w:tc>
          <w:tcPr>
            <w:tcW w:w="2448" w:type="dxa"/>
          </w:tcPr>
          <w:p>
            <w:pPr>
              <w:spacing w:after="20"/>
            </w:pPr>
            <w:r>
              <w:rPr>
                <w:sz w:val="18"/>
              </w:rPr>
              <w:t xml:space="preserve">📄 </w:t>
            </w:r>
            <w:r>
              <w:rPr>
                <w:rFonts w:ascii="Courier New" w:hAnsi="Courier New"/>
                <w:b/>
                <w:color w:val="1F497D"/>
                <w:sz w:val="17"/>
              </w:rPr>
              <w:t>MST-BE-G-03</w:t>
            </w:r>
          </w:p>
          <w:p>
            <w:pPr>
              <w:spacing w:after="20"/>
            </w:pPr>
            <w:r>
              <w:rPr>
                <w:color w:val="373737"/>
                <w:sz w:val="17"/>
              </w:rPr>
              <w:t>Test coverage &amp; parity</w:t>
            </w:r>
          </w:p>
        </w:tc>
        <w:tc>
          <w:tcPr>
            <w:tcW w:w="1152" w:type="dxa"/>
          </w:tcPr>
          <w:p>
            <w:pPr>
              <w:spacing w:after="20"/>
            </w:pPr>
            <w:r>
              <w:rPr>
                <w:color w:val="9B7A00"/>
                <w:sz w:val="17"/>
              </w:rPr>
              <w:t>🟡 Medium [M]</w:t>
            </w:r>
          </w:p>
        </w:tc>
        <w:tc>
          <w:tcPr>
            <w:tcW w:w="1872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Tests</w:t>
            </w:r>
          </w:p>
        </w:tc>
        <w:tc>
          <w:tcPr>
            <w:tcW w:w="1368" w:type="dxa"/>
          </w:tcPr>
          <w:p>
            <w:pPr>
              <w:spacing w:after="20"/>
            </w:pPr>
            <w:r>
              <w:rPr>
                <w:color w:val="444444"/>
                <w:sz w:val="17"/>
              </w:rPr>
              <w:t>B-01, C-01, E-01, G-01</w:t>
            </w:r>
          </w:p>
        </w:tc>
        <w:tc>
          <w:tcPr>
            <w:tcW w:w="5976" w:type="dxa"/>
          </w:tcPr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Intent — </w:t>
            </w:r>
            <w:r>
              <w:rPr>
                <w:color w:val="373737"/>
                <w:sz w:val="17"/>
              </w:rPr>
              <w:t>Prove the measurement subgraph matches the old gateway.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 xml:space="preserve">Today — </w:t>
            </w:r>
            <w:r>
              <w:rPr>
                <w:color w:val="373737"/>
                <w:sz w:val="17"/>
              </w:rPr>
              <w:t>≥80% unit coverage; parity fixtures for the 7 queries + 8 mutations + updateMeasurement 3 fixtures + the relationship path</w:t>
            </w:r>
          </w:p>
          <w:p>
            <w:pPr>
              <w:spacing w:after="20"/>
            </w:pPr>
            <w:r>
              <w:rPr>
                <w:b/>
                <w:color w:val="373737"/>
                <w:sz w:val="17"/>
              </w:rPr>
              <w:t>Done when: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>Unit ≥80%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color w:val="373737"/>
                <w:sz w:val="17"/>
              </w:rPr>
              <w:t xml:space="preserve">Parity green for reads/writes incl. </w:t>
            </w:r>
            <w:r>
              <w:rPr>
                <w:rFonts w:ascii="Courier New" w:hAnsi="Courier New"/>
                <w:sz w:val="17"/>
              </w:rPr>
              <w:t>getMeasurements</w:t>
            </w:r>
            <w:r>
              <w:rPr>
                <w:color w:val="373737"/>
                <w:sz w:val="17"/>
              </w:rPr>
              <w:t xml:space="preserve"> relationship path</w:t>
            </w:r>
          </w:p>
          <w:p>
            <w:pPr>
              <w:spacing w:after="20"/>
              <w:ind w:left="173"/>
            </w:pPr>
            <w:r>
              <w:rPr>
                <w:color w:val="444444"/>
                <w:sz w:val="17"/>
              </w:rPr>
              <w:t xml:space="preserve">• </w:t>
            </w:r>
            <w:r>
              <w:rPr>
                <w:rFonts w:ascii="Courier New" w:hAnsi="Courier New"/>
                <w:sz w:val="17"/>
              </w:rPr>
              <w:t>updateMeasurement</w:t>
            </w:r>
            <w:r>
              <w:rPr>
                <w:color w:val="373737"/>
                <w:sz w:val="17"/>
              </w:rPr>
              <w:t xml:space="preserve"> failure path covered</w:t>
            </w:r>
          </w:p>
        </w:tc>
      </w:tr>
    </w:tbl>
    <w:p/>
    <w:sectPr w:rsidR="00FC693F" w:rsidRPr="0006063C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