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</w:t>
      </w:r>
    </w:p>
    <w:p>
      <w:pPr>
        <w:spacing w:after="160"/>
      </w:pPr>
      <w:r>
        <w:rPr>
          <w:i/>
          <w:color w:val="444444"/>
          <w:sz w:val="22"/>
        </w:rPr>
        <w:t>Target DGS: plm-product (host)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67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5  🟠 4  🟡 25  🟢 33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(host)</w:t>
      </w:r>
      <w:r>
        <w:rPr>
          <w:color w:val="444444"/>
          <w:sz w:val="18"/>
        </w:rPr>
        <w:t xml:space="preserve">   |   Generated: 2026-07-15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</w:t>
      </w:r>
      <w:r>
        <w:rPr>
          <w:b/>
          <w:color w:val="373737"/>
          <w:sz w:val="20"/>
        </w:rPr>
        <w:t>Product</w:t>
      </w:r>
      <w:r>
        <w:rPr>
          <w:color w:val="373737"/>
          <w:sz w:val="20"/>
        </w:rPr>
        <w:t xml:space="preserve"> — the central entity of the PLM system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DGS. - Product is the </w:t>
      </w:r>
      <w:r>
        <w:rPr>
          <w:b/>
          <w:color w:val="373737"/>
          <w:sz w:val="20"/>
        </w:rPr>
        <w:t>largest and highest-risk</w:t>
      </w:r>
      <w:r>
        <w:rPr>
          <w:color w:val="373737"/>
          <w:sz w:val="20"/>
        </w:rPr>
        <w:t xml:space="preserve"> domain (18 queries, 20 mutations, ~50 field resolvers on a 2,629-line resolver) and the </w:t>
      </w:r>
      <w:r>
        <w:rPr>
          <w:b/>
          <w:color w:val="373737"/>
          <w:sz w:val="20"/>
        </w:rPr>
        <w:t>host service</w:t>
      </w:r>
      <w:r>
        <w:rPr>
          <w:color w:val="373737"/>
          <w:sz w:val="20"/>
        </w:rPr>
        <w:t xml:space="preserve"> for the whole product family: BOM, Measurement, Impression, Packaging and others live in the same DGS, so their links from Product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rather than across the federation gateway.</w:t>
      </w:r>
    </w:p>
    <w:p>
      <w:pPr>
        <w:spacing w:after="80"/>
      </w:pPr>
      <w:r>
        <w:rPr>
          <w:color w:val="373737"/>
          <w:sz w:val="20"/>
        </w:rPr>
        <w:t xml:space="preserve">- Most of the work is mechanical (the long tail of CRUD and simple field resolvers), but a handful of items carry real risk: the </w:t>
      </w:r>
      <w:r>
        <w:rPr>
          <w:b/>
          <w:color w:val="373737"/>
          <w:sz w:val="20"/>
        </w:rPr>
        <w:t>TechPack count</w:t>
      </w:r>
      <w:r>
        <w:rPr>
          <w:color w:val="373737"/>
          <w:sz w:val="20"/>
        </w:rPr>
        <w:t xml:space="preserve"> query (a ~200-line, 14-step aggregation spanning 8 domains' data via 4 physical services, which becomes a federated composite-key entity), the </w:t>
      </w:r>
      <w:r>
        <w:rPr>
          <w:b/>
          <w:color w:val="373737"/>
          <w:sz w:val="20"/>
        </w:rPr>
        <w:t>partner drop/undrop</w:t>
      </w:r>
      <w:r>
        <w:rPr>
          <w:color w:val="373737"/>
          <w:sz w:val="20"/>
        </w:rPr>
        <w:t xml:space="preserve"> orchestration, the cross-domain </w:t>
      </w:r>
      <w:r>
        <w:rPr>
          <w:b/>
          <w:color w:val="373737"/>
          <w:sz w:val="20"/>
        </w:rPr>
        <w:t>components</w:t>
      </w:r>
      <w:r>
        <w:rPr>
          <w:color w:val="373737"/>
          <w:sz w:val="20"/>
        </w:rPr>
        <w:t xml:space="preserve"> and </w:t>
      </w:r>
      <w:r>
        <w:rPr>
          <w:b/>
          <w:color w:val="373737"/>
          <w:sz w:val="20"/>
        </w:rPr>
        <w:t>attachmentsWithMetaData</w:t>
      </w:r>
      <w:r>
        <w:rPr>
          <w:color w:val="373737"/>
          <w:sz w:val="20"/>
        </w:rPr>
        <w:t xml:space="preserve"> field resolvers, and a </w:t>
      </w:r>
      <w:r>
        <w:rPr>
          <w:b/>
          <w:color w:val="373737"/>
          <w:sz w:val="20"/>
        </w:rPr>
        <w:t>latent `division` bug</w:t>
      </w:r>
      <w:r>
        <w:rPr>
          <w:color w:val="373737"/>
          <w:sz w:val="20"/>
        </w:rPr>
        <w:t xml:space="preserve">. - We recommend the </w:t>
      </w:r>
      <w:r>
        <w:rPr>
          <w:b/>
          <w:color w:val="373737"/>
          <w:sz w:val="20"/>
        </w:rPr>
        <w:t>facade-then-federate</w:t>
      </w:r>
      <w:r>
        <w:rPr>
          <w:color w:val="373737"/>
          <w:sz w:val="20"/>
        </w:rPr>
        <w:t xml:space="preserve"> approach for TechPack (draft </w:t>
      </w:r>
      <w:r>
        <w:rPr>
          <w:b/>
          <w:color w:val="373737"/>
          <w:sz w:val="20"/>
        </w:rPr>
        <w:t>ADR-015</w:t>
      </w:r>
      <w:r>
        <w:rPr>
          <w:color w:val="373737"/>
          <w:sz w:val="20"/>
        </w:rPr>
        <w:t xml:space="preserve"> Option B; the pattern </w:t>
      </w:r>
      <w:r>
        <w:rPr>
          <w:rFonts w:ascii="Courier New" w:hAnsi="Courier New"/>
          <w:sz w:val="20"/>
        </w:rPr>
        <w:t>techpack-migration-options.md</w:t>
      </w:r>
      <w:r>
        <w:rPr>
          <w:color w:val="373737"/>
          <w:sz w:val="20"/>
        </w:rPr>
        <w:t xml:space="preserve"> labels "Option D (hybrid)"): ship a thin query over a temporary aggregation facade so it works on day 1, then federate each piece to its owning domain, then retire the facade (</w:t>
      </w:r>
      <w:r>
        <w:rPr>
          <w:rFonts w:ascii="Courier New" w:hAnsi="Courier New"/>
          <w:sz w:val="20"/>
        </w:rPr>
        <w:t>F-09</w:t>
      </w:r>
      <w:r>
        <w:rPr>
          <w:color w:val="373737"/>
          <w:sz w:val="20"/>
        </w:rPr>
        <w:t>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legacy gateway obtains per-resource capability tokens via ACL on nearly every call.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control. Each complex case carries a scenario ADR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recording this assumption's impact; those ratify together with the global decision. ACL steps are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incl. TechPack (Very High) and two-stage </w:t>
            </w: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 (+3 deferred)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partner actions + component fan-out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~16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2 X-Large (attachmentsWithMetaData, components)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EXT + 6 platform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search/attachment/workspace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Composite-key aggregate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 (TechPack </w:t>
            </w:r>
            <w:r>
              <w:rPr>
                <w:rFonts w:ascii="Courier New" w:hAnsi="Courier New"/>
                <w:sz w:val="18"/>
              </w:rPr>
              <w:t>ResourcesCount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 sibling subgraphs extend it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received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from sibling domains (Phase F placeholders)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build stories (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= +1). The 3 Phase-0 spike stubs (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S-03</w:t>
            </w:r>
            <w:r>
              <w:rPr>
                <w:color w:val="373737"/>
                <w:sz w:val="18"/>
              </w:rPr>
              <w:t xml:space="preserve">)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PRODUCT-BE-C-01 — getProducts(...) two-stage hydration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PRODUCT-BE-D-01 — addProduct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PRODUCT-BE-D-02 — addProducts (bulk)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PRODUCT-BE-D-04 — updateProduct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PRODUCT-BE-E-01 — productBusinessPartnerActions (REMOVE/DROP/UNDROP)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SPIKE-03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 Drop/Undrop + Ownership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PRODUCT-BE-E-02 — updateComponentStatuses (5-loader fan-out)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PRODUCT-BE-E-03 — getProductTechPackCountV1 stub + aggregation facade (facade-then-federate, Phase 1)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PRODUCT-BE-E-04 — getProductTechPackBulkCountV1 (bulk wrapper, ordering fix)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PRODUCT-BE-G-07 — Product.vendorAttributes + businessPartners + droppedPartners + unDroppablePartners + status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PRODUCT-BE-G-11-1 — Product.notRemovablePartnerIds + notRemovableWorkspaceIds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Ready when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11–18d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17–29d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B-01; C-01 gated on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(Hydration, via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25–40d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B-01; D-01/D-02/D-04 gated on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(Association, via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>); D-03/D-06/D-07/D-11 unblocked (single-backend, per ADR-011 scope)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(partner/components/TechPack)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33–56d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E-01 gated on </w:t>
            </w:r>
            <w:r>
              <w:rPr>
                <w:rFonts w:ascii="Courier New" w:hAnsi="Courier New"/>
                <w:sz w:val="18"/>
              </w:rPr>
              <w:t>SPIKE-03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22–40d (most BLOCKED-BY siblings)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E-03 / siblings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Resolvers, Bug-fixes, Utils,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86–143d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B-01.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(16 → 17)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194–326d</w:t>
            </w:r>
            <w:r>
              <w:rPr>
                <w:color w:val="373737"/>
                <w:sz w:val="18"/>
              </w:rPr>
              <w:t xml:space="preserve"> (buffered; sum of phase rows)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39–66 sprints</w:t>
      </w:r>
      <w:r>
        <w:rPr>
          <w:color w:val="444444"/>
          <w:sz w:val="18"/>
        </w:rPr>
        <w:t>. Heavily parallelizable after B-01; 2–3 engineers strongly recommended.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~39–66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 — not recommended for this domain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~25–42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~18–28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 done → B + C + D + most of G in parallel; E and the two X-Large fields on dedicated owners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D/C/E work isn't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types, stubs, Categories resolver, ResourcesCount,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B-01–B-11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all core reads (incl. rules reads)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search/listing + rating + rules search (C-01 needs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D-01–D-18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simple mutations, parallelizable (D-01/D-02/D-04 need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concluded; D-03/D-06/D-07/D-11 unblocked)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7–8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E-03/E-04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facade + bulk (focused; facade-then-federate direction already resolved, draft ADR-015)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E-01/E-02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 actions (needs </w:t>
            </w:r>
            <w:r>
              <w:rPr>
                <w:rFonts w:ascii="Courier New" w:hAnsi="Courier New"/>
                <w:sz w:val="18"/>
              </w:rPr>
              <w:t>SPIKE-03</w:t>
            </w:r>
            <w:r>
              <w:rPr>
                <w:color w:val="373737"/>
                <w:sz w:val="18"/>
              </w:rPr>
              <w:t xml:space="preserve"> concluded) + component fan-out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G-01–G-10, G-11-1, G-11-2, G-12–G-14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(G-01/G-02 X-Large get their own sprint)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G-15 + G-16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utils port + tests/parity/load/cut-over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F-01–F-09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federation (unblocked as siblings migrate) + facade retirement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any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F-10–F-12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gateway composition + platform verify + drift decision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single product by id (the core product read everything else builds 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GET ${v1}?productId={id} → camelCase or null; DataLoader-batched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product; 404→null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batches N ids in 1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getProductsByIds(ids)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several products at once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getByIdList GET ${v1}?productId={csv}&amp;page=0&amp;size=10000&amp;sort=createdDate,desc; primes getByID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paged products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primes single-id loader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product statuses (dropdown options).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getStatus master status list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getProductVersions(id)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saved versions of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getVersions GET ${v1}/{id}/versions?page=0&amp;size=10000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versions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getCopyStatus(id)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Tells you whether a product copy is still in progress or done.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getCopyStatus GET ${v2}/count/resource-type?copyId={id}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copy status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product template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→ response \|\| {} (empty object on miss — preserve)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 or empty object (not null)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product business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getAllRules GET $… → content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rules content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one business rule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getRuleById GET $…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getAllAvailableRules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rules that are available to apply.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getAvailableRules GET …/spark_rules/v1/rules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available rules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getProductDeptRules(productIds, departmentIds, activeOnly)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department-level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 USE_NEW_RULES_API ? ruleLibrary.searchRuleLibrary : product.searchProductDeptRules GET …/spark_rules/v1/search?productIds=&amp;departmentIds=&amp;activeOnly=. PO…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default </w:t>
            </w:r>
            <w:r>
              <w:rPr>
                <w:rFonts w:ascii="Courier New" w:hAnsi="Courier New"/>
                <w:sz w:val="17"/>
              </w:rPr>
              <w:t>activeOnly=true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selects the correct backend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getProductBPRules(productIds, businessPartnerIds, activeOnly)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business-partner-level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B-10 with businessPartnerIds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honored; BP filter applied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[03-schema.graphql](./03-schema.graphql).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getProducts(...)</w:t>
            </w:r>
            <w:r>
              <w:rPr>
                <w:color w:val="373737"/>
                <w:sz w:val="17"/>
              </w:rPr>
              <w:t xml:space="preserve"> two-stage hydration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products by combining the search index with the canonical record (two-stage hydration).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listing products needs data from two places — the search index (which - knows flags like "has boms", "has claims", workspace membership) and the canonical product…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4 arg combos (no flags / all flags / resourceType=workspaces / filter array)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truthy defaults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elastic flags merged onto canonical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Workspace-filter placement and elastic/canonical staleness handling match </w:t>
            </w:r>
            <w:r>
              <w:rPr>
                <w:rFonts w:ascii="Courier New" w:hAnsi="Courier New"/>
                <w:sz w:val="17"/>
              </w:rPr>
              <w:t>SPIKE-06a</w:t>
            </w:r>
            <w:r>
              <w:rPr>
                <w:color w:val="373737"/>
                <w:sz w:val="17"/>
              </w:rPr>
              <w:t>'s decision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4 combos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default truthiness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getProductTemplates(...)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product templates, with optional filters on what to include.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getFilteredProductsListing({resourceType:'product', includeBoms:false, ...7 includeXxxTemplates flags, types}) → return elastic response (no 2nd hydration)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template-include flags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types:[Int]</w:t>
            </w:r>
            <w:r>
              <w:rPr>
                <w:color w:val="373737"/>
                <w:sz w:val="17"/>
              </w:rPr>
              <w:t xml:space="preserve"> filter applied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getCategories(...)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category tree for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default productType ?? 100; (search) getProductCategories GET ${elastic}/search/${snake_case(type)}?resourceType=&amp;resourceId=&amp;productType= → ProductsCategories…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snake_case(type)</w:t>
            </w:r>
            <w:r>
              <w:rPr>
                <w:color w:val="373737"/>
                <w:sz w:val="17"/>
              </w:rPr>
              <w:t xml:space="preserve"> path exact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wires to </w:t>
            </w:r>
            <w:r>
              <w:rPr>
                <w:rFonts w:ascii="Courier New" w:hAnsi="Courier New"/>
                <w:sz w:val="17"/>
              </w:rPr>
              <w:t>Categories</w:t>
            </w:r>
            <w:r>
              <w:rPr>
                <w:color w:val="373737"/>
                <w:sz w:val="17"/>
              </w:rPr>
              <w:t xml:space="preserve"> union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getRatingByTcin(tcin)</w:t>
            </w:r>
            <w:r>
              <w:rPr>
                <w:color w:val="373737"/>
                <w:sz w:val="17"/>
              </w:rPr>
              <w:t xml:space="preserve"> (external rating)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rating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Gets the customer rating for a product (from an external ratings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(external) GET ${RATING_ENDPOINT}?reviewType=product&amp;includes=statistics&amp;reviewedId={tcin}&amp;key={API_KEY} (skipJsonParse) → JSON.parse → {averageRating, reviewCount}…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parses statistics to </w:t>
            </w:r>
            <w:r>
              <w:rPr>
                <w:rFonts w:ascii="Courier New" w:hAnsi="Courier New"/>
                <w:sz w:val="17"/>
              </w:rPr>
              <w:t>Rating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any error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API key from config/Vault, not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searchProductRules(...)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product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fork; legacy GET …/spark_rules/v1/search_mapped?... → productRuleResponseTransformer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legacy response transformed correctly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 (optionally copy from another + associate a workspace).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 + optional copyProductToProduct(copyProduct) + workspace association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optional copy runs when </w:t>
            </w:r>
            <w:r>
              <w:rPr>
                <w:rFonts w:ascii="Courier New" w:hAnsi="Courier New"/>
                <w:sz w:val="17"/>
              </w:rPr>
              <w:t>copyProduct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applied via the shared association component (no bespoke fan-out code)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failure after create (link or copy fails) surfaces per the mutation's declared failure policy — default fail-fast, no rollback, documented (ADR-011 §4)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addProducts</w:t>
            </w:r>
            <w:r>
              <w:rPr>
                <w:color w:val="373737"/>
                <w:sz w:val="17"/>
              </w:rPr>
              <w:t xml:space="preserve"> (bulk)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products at once (plus attachment links).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POST ${v1}/bulk + attachment-link side-effects (no rollback — preserve, flag)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attachment links applied via the shared association component; no-rollback behaviour documented (compensation deferred to </w:t>
            </w:r>
            <w:r>
              <w:rPr>
                <w:rFonts w:ascii="Courier New" w:hAnsi="Courier New"/>
                <w:sz w:val="17"/>
              </w:rPr>
              <w:t>SPIKE-01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resolver import remains; the formerly fire-and-forget attachment re-point is awaited and its failure visible (accepted deviations per ADR-011 §4)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bulkUpdateProducts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products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${v1}/mass_update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mass-updates products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 (optional copy + template-attachment cleanup).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${v1}/{id} + optional copy + archive removed-template attachments (template branch)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optional copy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removed-template attachments archived (template branch)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carryForwardProduct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Carries a product forward (creates the next season/version from it).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${v1}/{productId}/carry_forward/{workspaceId} — uses every field on CarryForwardProductInput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input fields mapped to the request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teams (and their partners) to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${v1}/{productId}/resources/bulk + manage_workspace_teams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teams + new partners + workspace links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partner-add failure exits early with a thrown typed error (today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— standardized per ADR-011 §4 pin-down 4, accepted deviation); teams are not added after a failed partner add (legacy order preserved)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business partners to a product with a given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${v1}/{productId}/partners-add/bulk; success = response has product_id and no status_code; failure = log + return new Error(...) (returned, not thrown — surfaces…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partners with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throws a typed </w:t>
            </w:r>
            <w:r>
              <w:rPr>
                <w:rFonts w:ascii="Courier New" w:hAnsi="Courier New"/>
                <w:sz w:val="17"/>
              </w:rPr>
              <w:t>DgsException</w:t>
            </w:r>
            <w:r>
              <w:rPr>
                <w:color w:val="373737"/>
                <w:sz w:val="17"/>
              </w:rPr>
              <w:t xml:space="preserve"> instead of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(accepted parity deviation, ADR-011 §4 pin-down 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removeProductResources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resources (links) from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${v1}/{productId}/resources/bulk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removes resources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updateBusinessPartnerStatuses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business partners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statuses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updateViewToggle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Toggles whether a product is hidden.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 view toggle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toggles hidden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updateWorkspaceAttributes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product's workspace attributes.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 workspace attrs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workspace attrs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updateProductTeamsWorkspaceContext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team↔workspace pairings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team-workspace add/remove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team-workspace pairs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linkProduct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Links a parent and child product together.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link — throws on backend error (only mutation that does)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links parent/child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backend error → exception (not null)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unlinkProduct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Unlinks a parent and child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unlink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unlinks parent/child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…/spark_rules/v1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rule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updateProductRule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…/spark_rules/v1/{id}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…/spark_rules/v1/{id} → Boolean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deletes; returns Boolean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</w:t>
            </w:r>
            <w:r>
              <w:rPr>
                <w:color w:val="373737"/>
                <w:sz w:val="17"/>
              </w:rPr>
              <w:t xml:space="preserve"> (bulk)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Bulk-updates the status of many components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PUT ${v1}/component_status_update/bulk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bulk-updates component statuses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productBusinessPartnerActions</w:t>
            </w:r>
            <w:r>
              <w:rPr>
                <w:color w:val="373737"/>
                <w:sz w:val="17"/>
              </w:rPr>
              <w:t xml:space="preserve"> (REMOVE/DROP/UNDROP)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SPIKE-03 (Partner Drop/Undrop + Ownership)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recentlyViewed, todo, favorite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 / drop / undrop a business partner across a product — a ~220-line orchestrated write.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removing, dropping, or un-dropping a business partner from a product - isn't one write — it's a ~220-line dispatcher that updates the partner's status and then fans…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paths reach REST parity (recorded fixtures), incl. the design-partner branch (</w:t>
            </w:r>
            <w:r>
              <w:rPr>
                <w:rFonts w:ascii="Courier New" w:hAnsi="Courier New"/>
                <w:sz w:val="17"/>
              </w:rPr>
              <w:t>skipSamples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partnerType == DESIGN_PARTNER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partial-failure compensation log/strategy implemented per </w:t>
            </w:r>
            <w:r>
              <w:rPr>
                <w:rFonts w:ascii="Courier New" w:hAnsi="Courier New"/>
                <w:sz w:val="17"/>
              </w:rPr>
              <w:t>SPIKE-03</w:t>
            </w:r>
            <w:r>
              <w:rPr>
                <w:color w:val="373737"/>
                <w:sz w:val="17"/>
              </w:rPr>
              <w:t>'s decision (draft ADR-012: per-step policy — partner-status compensate · ACL retry-then-fail · activity/profile retry+reconcile)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cleanup fan-out runs per case, with per-target failure isolation (one cleanup failing is visible and doesn't silently swallow the others)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on DROP, ACL revocation completes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mutation returns success; on UNDROP, ACL restore precedes participant undrops — proven by an automated test, not convention (ADR-012 §4 ordering constraint)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Relationship-Service traversal and no </w:t>
            </w:r>
            <w:r>
              <w:rPr>
                <w:rFonts w:ascii="Courier New" w:hAnsi="Courier New"/>
                <w:sz w:val="17"/>
              </w:rPr>
              <w:t>UserProfileAttributes</w:t>
            </w:r>
            <w:r>
              <w:rPr>
                <w:color w:val="373737"/>
                <w:sz w:val="17"/>
              </w:rPr>
              <w:t xml:space="preserve"> resolver import remain in the ported flow (replaced by participant enumeration + a user-profile client call)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design-partner branch (samples skipped)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 per step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ACL-before-return ordering invariant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updateComponentStatuses</w:t>
            </w:r>
            <w:r>
              <w:rPr>
                <w:color w:val="373737"/>
                <w:sz w:val="17"/>
              </w:rPr>
              <w:t xml:space="preserve"> (5-loader fan-out)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claim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component statuses, fanning out to 5 sibling loaders.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updating component statuses fans out to 5 places in parallel (bom, - measurement, productDetail, packaging — all internal — plus claim, external). - The bug: a loop…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per-loader failures don't fail siblings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 var fixed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5-way fan-out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 failure isolation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getProductTechPackCountV1</w:t>
            </w:r>
            <w:r>
              <w:rPr>
                <w:color w:val="373737"/>
                <w:sz w:val="17"/>
              </w:rPr>
              <w:t xml:space="preserve"> stub + aggregation facade (facade-then-federate, Phase 1)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TechPack panel's badge counts by aggregating across ~8 domains.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panel shows badge counts (attachments, discussions, - samples, boms, claims, etc.) for a product. - Getting those counts today means walking the entire…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a fully populated 11-field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from the facade for a valid </w:t>
            </w:r>
            <w:r>
              <w:rPr>
                <w:rFonts w:ascii="Courier New" w:hAnsi="Courier New"/>
                <w:sz w:val="17"/>
              </w:rPr>
              <w:t>(productId, partnerId, workspaceContext, parentProductId)</w:t>
            </w:r>
            <w:r>
              <w:rPr>
                <w:color w:val="373737"/>
                <w:sz w:val="17"/>
              </w:rPr>
              <w:t xml:space="preserve"> input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@DgsEntityFetcher(name="ResourcesCount")</w:t>
            </w:r>
            <w:r>
              <w:rPr>
                <w:color w:val="373737"/>
                <w:sz w:val="17"/>
              </w:rPr>
              <w:t xml:space="preserve"> reconstructs the entity from key + context on an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query (federation-ready shell)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Recorded-fixture parity vs </w:t>
            </w:r>
            <w:r>
              <w:rPr>
                <w:rFonts w:ascii="Courier New" w:hAnsi="Courier New"/>
                <w:sz w:val="17"/>
              </w:rPr>
              <w:t>spark-internal-graphql</w:t>
            </w:r>
            <w:r>
              <w:rPr>
                <w:color w:val="373737"/>
                <w:sz w:val="17"/>
              </w:rPr>
              <w:t xml:space="preserve"> for ≥ 5 pinned inputs, including: a product </w:t>
            </w:r>
            <w:r>
              <w:rPr>
                <w:b/>
                <w:color w:val="373737"/>
                <w:sz w:val="17"/>
              </w:rPr>
              <w:t>with a parent</w:t>
            </w:r>
            <w:r>
              <w:rPr>
                <w:color w:val="373737"/>
                <w:sz w:val="17"/>
              </w:rPr>
              <w:t xml:space="preserve"> (double-walk), &gt; 100 walked ids (chunked ACL), a 3D attachment, and a critical thread whose parent discussion is outside the walk — 100% field-value match modulo the ADR-015 §4 deviation list (parallelized elastic/ACL calls; counts unchanged)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observable: per-slice latency + error metrics and a health endpoint exist (they gate the </w:t>
            </w:r>
            <w:r>
              <w:rPr>
                <w:rFonts w:ascii="Courier New" w:hAnsi="Courier New"/>
                <w:sz w:val="17"/>
              </w:rPr>
              <w:t>F-01</w:t>
            </w:r>
            <w:r>
              <w:rPr>
                <w:color w:val="373737"/>
                <w:sz w:val="17"/>
              </w:rPr>
              <w:t>–</w:t>
            </w:r>
            <w:r>
              <w:rPr>
                <w:rFonts w:ascii="Courier New" w:hAnsi="Courier New"/>
                <w:sz w:val="17"/>
              </w:rPr>
              <w:t>F-08</w:t>
            </w:r>
            <w:r>
              <w:rPr>
                <w:color w:val="373737"/>
                <w:sz w:val="17"/>
              </w:rPr>
              <w:t xml:space="preserve"> re-homings and the </w:t>
            </w:r>
            <w:r>
              <w:rPr>
                <w:rFonts w:ascii="Courier New" w:hAnsi="Courier New"/>
                <w:sz w:val="17"/>
              </w:rPr>
              <w:t>F-09</w:t>
            </w:r>
            <w:r>
              <w:rPr>
                <w:color w:val="373737"/>
                <w:sz w:val="17"/>
              </w:rPr>
              <w:t xml:space="preserve"> retirement check)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behavior-frozen: deviations limited to ADR-015 §4 pin-downs; </w:t>
            </w:r>
            <w:r>
              <w:rPr>
                <w:rFonts w:ascii="Courier New" w:hAnsi="Courier New"/>
                <w:sz w:val="17"/>
              </w:rPr>
              <w:t>CODEOWNERS</w:t>
            </w:r>
            <w:r>
              <w:rPr>
                <w:color w:val="373737"/>
                <w:sz w:val="17"/>
              </w:rPr>
              <w:t xml:space="preserve"> guard in place so new feature work lands in the owning domain's </w:t>
            </w:r>
            <w:r>
              <w:rPr>
                <w:rFonts w:ascii="Courier New" w:hAnsi="Courier New"/>
                <w:sz w:val="17"/>
              </w:rPr>
              <w:t>F0x</w:t>
            </w:r>
            <w:r>
              <w:rPr>
                <w:color w:val="373737"/>
                <w:sz w:val="17"/>
              </w:rPr>
              <w:t xml:space="preserve"> story instead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facade call returns 11 populated fields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entity fetcher via </w:t>
            </w:r>
            <w:r>
              <w:rPr>
                <w:rFonts w:ascii="Courier New" w:hAnsi="Courier New"/>
                <w:sz w:val="17"/>
              </w:rPr>
              <w:t>_entities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 ≥ 5 pinned inputs (incl. parent double-walk, &gt;100 ids, 3D attachment, out-of-walk critical thread)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per-slice metrics emitted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full query via DGS test client returns expected shape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getProductTechPackBulkCountV1</w:t>
            </w:r>
            <w:r>
              <w:rPr>
                <w:color w:val="373737"/>
                <w:sz w:val="17"/>
              </w:rPr>
              <w:t xml:space="preserve"> (bulk wrapper, ordering fix)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SPIKE-02, E-03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TechPack counts for many products at once, in the caller's order.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bulk version runs all N single-product lookups concurrently and - returns them in whatever order they happen to finish — not the order the caller asked for. - If a…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bulk(P1..Pn) == [single(P1)..single(Pn)]</w:t>
            </w:r>
            <w:r>
              <w:rPr>
                <w:color w:val="373737"/>
                <w:sz w:val="17"/>
              </w:rPr>
              <w:t xml:space="preserve"> in input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list → []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 preserved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(federated, from Attachment)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attachment counts to the product's TechPack rollup (from Attachment).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productAttachments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resolve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; the </w:t>
            </w:r>
            <w:r>
              <w:rPr>
                <w:rFonts w:ascii="Courier New" w:hAnsi="Courier New"/>
                <w:sz w:val="17"/>
              </w:rPr>
              <w:t>E-03</w:t>
            </w:r>
            <w:r>
              <w:rPr>
                <w:color w:val="373737"/>
                <w:sz w:val="17"/>
              </w:rPr>
              <w:t xml:space="preserve"> facade stops populating them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facade for the same inputs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is live in prod only after </w:t>
            </w:r>
            <w:r>
              <w:rPr>
                <w:rFonts w:ascii="Courier New" w:hAnsi="Courier New"/>
                <w:sz w:val="17"/>
              </w:rPr>
              <w:t>plm-attachment</w:t>
            </w:r>
            <w:r>
              <w:rPr>
                <w:color w:val="373737"/>
                <w:sz w:val="17"/>
              </w:rPr>
              <w:t xml:space="preserve"> is deployed (ship gate honored)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ResourcesCount.discussions</w:t>
            </w:r>
            <w:r>
              <w:rPr>
                <w:color w:val="373737"/>
                <w:sz w:val="17"/>
              </w:rPr>
              <w:t xml:space="preserve"> (federated, from Discussion)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discussion count — answered by the Discussion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discussions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plm-discussion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ResourcesCount.sample</w:t>
            </w:r>
            <w:r>
              <w:rPr>
                <w:color w:val="373737"/>
                <w:sz w:val="17"/>
              </w:rPr>
              <w:t xml:space="preserve"> (federated, from Sample)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sample count — answered by the Sample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plm-sample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ResourcesCount.measurementSets</w:t>
            </w:r>
            <w:r>
              <w:rPr>
                <w:color w:val="373737"/>
                <w:sz w:val="17"/>
              </w:rPr>
              <w:t xml:space="preserve"> (internal, from Measurement)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measurement-set count — answered in-process by the co-located Measurement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measurementSets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(federated, from Claim)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claims count — answered by the Claims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spark-claims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(internal, from BOM)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BOM counts — answered in-process by the co-located BOM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resolve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ResourcesCount.constructions</w:t>
            </w:r>
            <w:r>
              <w:rPr>
                <w:color w:val="373737"/>
                <w:sz w:val="17"/>
              </w:rPr>
              <w:t xml:space="preserve"> (federated, from Construction)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construction count — answered by the Construction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constructions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Live in prod only after the construction subgraph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(internal, from Watchlist)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watchlist count — answered in-process by the co-located Watchlist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watchlists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PRODUCT-BE-F-09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Retire the TechPack aggregation facade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F-01, F-02, F-03, F-04, F-05, F-06, F-07, F-08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the temporary TechPack 'facade' once every count is served by its real owner.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remove TechPackAggregatorClient; TechPackDataFetcher returns key+context only; decommission the facade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11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fields resolve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facade health-check endpoint returns 404 (decommissioned)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orphaned config (feature flags, Feign client beans, etc. referencing the retired facade)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Hive Gateway supergraph composition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Composes all the subgraphs into one federated graph at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plm-product subgraph URL; verify composition with VMM/IG/CORONA/Doppler stubs; smoke-test cross-subgraph query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supergraph composes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cross-subgraph smoke test passes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Platform stub verification (VMM/IG/Doppler/CORONA/APEX)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F-10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Verifies each external platform (VMM, IG, etc.) resolves through its stub.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confirm the gateway resolves full platform types from product-emitted @key stubs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platform type resolves via its stub key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Deferred partner-wrapper decision (drift mutations)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Decide the fate of three drift partner mutations that have no resolvers.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three old mutation names (removeProductBusinessPartner, - dropProductBusinessPartner, unDropProductBusinessPartner) still exist in the schema, but nothing calls them…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traffic survey complete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decision implemented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Product.attachmentsWithMetaData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mixed attachments-with-metadata feed (files + discussions + samples).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attachments panel on a product shows a mixed feed — actual file - attachments, plus discussions and samples that are also surfaced as if they were attachments…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mixed attachment/discussion/thread/sample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ordering rank preserved (product=0, discussion=1, sample=2; createdAt DESC tiebreak)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Product.components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everything attached to a product, tagged by type, with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components tab lists everything attached to a product — measurements, - claims, boms, product-details, packaging — tagged by type, with counts (how many are…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50+ components, incl. a product with &gt; 100 components (chunked ACL) and a claim with a missing ACL record (throw path preserved, ADR-014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archivedCount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countByComponents</w:t>
            </w:r>
            <w:r>
              <w:rPr>
                <w:color w:val="373737"/>
                <w:sz w:val="17"/>
              </w:rPr>
              <w:t xml:space="preserve"> match source exactly (incl. name/status fallbacks and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ACL batched — exactly one 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 xml:space="preserve"> call per resolution (no N+1), asserted by a call-count test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read; explicit field args confirmed against UI queries (contract test, ADR-014 pin-down 5)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counts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batched ACL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attachmentSummary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ProductTemplate.attachmentsData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product's attachment views (via a shared enrichment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four related resolvers sharing AttachmentEnrichmentService (G-01)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returns its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shares G-01 service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each field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ProductsCategories.categories</w:t>
            </w:r>
            <w:r>
              <w:rPr>
                <w:color w:val="373737"/>
                <w:sz w:val="17"/>
              </w:rPr>
              <w:t xml:space="preserve"> (12-case) + </w:t>
            </w:r>
            <w:r>
              <w:rPr>
                <w:rFonts w:ascii="Courier New" w:hAnsi="Courier New"/>
                <w:sz w:val="17"/>
              </w:rPr>
              <w:t>DopplerDepartment</w:t>
            </w:r>
            <w:r>
              <w:rPr>
                <w:color w:val="373737"/>
                <w:sz w:val="17"/>
              </w:rPr>
              <w:t xml:space="preserve"> fields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doppler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polymorphic categories union (12 branches) and department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categories is a polymorphic union — depending on which category type - the caller asked for, a different one of 12 branches builds the response shape. - Two of those…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category type built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Doppler fetched once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Product.samples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sampleIds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elasticSamplesList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samples from local context (removing the fragile args hack).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 these fields reach into GraphQL's internal info.variableValues to read arguments that were passed to a different, parent query — a fragile, implicit way to pass…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samples/sampleIds/elastic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Product.teams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discussionsV2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discussionsCount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teamV2, discussion, search, workspaceV2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team / discussion /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team/discussion/workspace elastic lookups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Product.vendorAttributes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droppedPartners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status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partner fields (with id normalization).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business-partner ids sometimes arrive as strings that need to be - parsed to ints before VMM will accept them (vmmUtils's int-parse normalization) — an easy detail to…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partners resolve via VMM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merge correct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associateProductsAsks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8 'ask a sibling domain' product fields (bom, measurement, …), each on demand.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each of these 8 fields is "go ask a sibling domain (bom, measurement, - etc.) for this product's data" — but only if the caller asked for it (each has an includeXxx…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sibling field resolves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includeXxx</w:t>
            </w:r>
            <w:r>
              <w:rPr>
                <w:color w:val="373737"/>
                <w:sz w:val="17"/>
              </w:rPr>
              <w:t xml:space="preserve"> branches honored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Product.productWorkspaceAttributes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productWorkspaceInfo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search,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per-workspace attributes (incl. lazy designCycle).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designCycle is computed lazily today — an inline async () =&gt; ... - closure attached to the value, evaluated only if a caller actually reads that sub-field.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both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designCycle</w:t>
            </w:r>
            <w:r>
              <w:rPr>
                <w:color w:val="373737"/>
                <w:sz w:val="17"/>
              </w:rPr>
              <w:t xml:space="preserve"> is a nested fetcher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Product.ancestryProducts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rating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reservedDpcis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relationship, rating,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ancestry, rating and reserved-DPCI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rating via RatingClient; reservedDpcis via getReservedDpcisFromApex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ancestry/rating/dpcis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rating null-on-error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PRODUCT-BE-G-11-1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Product.notRemovablePartnerIds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notRemovableWorkspaceIds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Compute which partners/workspaces can't be removed (still referenced).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 figure out which partners/workspaces can't be removed from a product (e.g. because they're the last remaining owner), today's code calls into 4-5 other field…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notRemovablePartnerIds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notRemovableWorkspaceIds</w:t>
            </w:r>
            <w:r>
              <w:rPr>
                <w:color w:val="373737"/>
                <w:sz w:val="17"/>
              </w:rPr>
              <w:t xml:space="preserve"> return the same results as source (same logical union of the underlying sibling data)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reflective resolver invocation remains — every call is a direct, statically-typed service method call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PRODUCT-BE-G-11-2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Product.associateProductsAsks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Product.variations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two sibling passthroughs (product-asks and variations).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two straightforward sibling passthroughs — associateProductsAsks - (the product-ask records tied to this product) and variations (sibling product variation records) —…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associateProductsAsks</w:t>
            </w:r>
            <w:r>
              <w:rPr>
                <w:color w:val="373737"/>
                <w:sz w:val="17"/>
              </w:rPr>
              <w:t xml:space="preserve"> resolves the product's ask records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resolves the product's variation records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Product.division</w:t>
            </w:r>
            <w:r>
              <w:rPr>
                <w:color w:val="373737"/>
                <w:sz w:val="17"/>
              </w:rPr>
              <w:t xml:space="preserve"> </w:t>
            </w:r>
            <w:r>
              <w:rPr>
                <w:b/>
                <w:color w:val="373737"/>
                <w:sz w:val="17"/>
              </w:rPr>
              <w:t>bug fix</w:t>
            </w:r>
            <w:r>
              <w:rPr>
                <w:color w:val="373737"/>
                <w:sz w:val="17"/>
              </w:rPr>
              <w:t xml:space="preserve"> (wrong loader)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Fix the wrong-loader bug so </w:t>
            </w:r>
            <w:r>
              <w:rPr>
                <w:rFonts w:ascii="Courier New" w:hAnsi="Courier New"/>
                <w:sz w:val="17"/>
              </w:rPr>
              <w:t>division</w:t>
            </w:r>
            <w:r>
              <w:rPr>
                <w:color w:val="373737"/>
                <w:sz w:val="17"/>
              </w:rPr>
              <w:t xml:space="preserve"> returns the product's actual division.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Product.division is supposed to return the product's division - (a specific org unit). - Instead, the source code has a copy-paste-style mistake: it calls…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Product.division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DopplerDepartment.division</w:t>
            </w:r>
            <w:r>
              <w:rPr>
                <w:color w:val="373737"/>
                <w:sz w:val="17"/>
              </w:rPr>
              <w:t xml:space="preserve"> both return the true division shape (via </w:t>
            </w:r>
            <w:r>
              <w:rPr>
                <w:rFonts w:ascii="Courier New" w:hAnsi="Courier New"/>
                <w:sz w:val="17"/>
              </w:rPr>
              <w:t>DivisionService</w:t>
            </w:r>
            <w:r>
              <w:rPr>
                <w:color w:val="373737"/>
                <w:sz w:val="17"/>
              </w:rPr>
              <w:t>), not the department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client-shape-change risk is logged with the PO and confirmed via a client survey before rollout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IG/tag/tcin/spg + template trivial-field group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tag, corona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group of trivial IG / tag / TCIN / template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department/departments/clazz/brand/brands/divisions/productTemplateDepartments, tags, tcins, SPARK_Tcin.itemDetails (CORONA), SPARK_PackagingAttribute.spg (internal…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Simple user/status fields + trivial pass-throughs (bundle)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simple people / status fields and trivial pass-throughs.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createdBy/updatedBy/versionCreatedBy (user-profile), ProductComponentStatus.updatedBy, SPARK_ResourcesCount.productThumbnailId (re-fetch product), plus ~60 direct…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 fields resolve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productThumbnailId</w:t>
            </w:r>
            <w:r>
              <w:rPr>
                <w:color w:val="373737"/>
                <w:sz w:val="17"/>
              </w:rPr>
              <w:t xml:space="preserve"> re-fetches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scalars mapped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Port product utils to Kotlin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Port the shared product utility helpers to Kotlin.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attachmentUtils, partnerUtils, teamUtils, productUtils, componentStatusUtils, resolvePaging, vmmUtils, accessControlUtils, removePartnerUtils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utils ported with unit tests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counter logic fixed/verified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ACL batch parallel-chunked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coverage, parity harness, load &amp; cut-over rehearsal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C-01, E-01, E-03, G-01, G-02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The safety net: tests + parity + load checks proving the new Product DGS matches the old gateway before cut-over.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harness ≥50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≥50 parity fixtures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load p95 parity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intentional-only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shadow-traffic rehearsal + rollback drill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Load: p95 latency is within spark-internal-graphql baseline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contract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shadow traffic rehearsal + rollback drill passes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