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1F497D"/>
          <w:sz w:val="40"/>
        </w:rPr>
        <w:t>Federated GraphQL Breakdown — Watchlist</w:t>
      </w:r>
    </w:p>
    <w:p>
      <w:pPr>
        <w:spacing w:after="160"/>
      </w:pPr>
      <w:r>
        <w:rPr>
          <w:i/>
          <w:color w:val="444444"/>
          <w:sz w:val="22"/>
        </w:rPr>
        <w:t>Target DGS: plm-product (co-located)  ·  spark-internal-graphql → Netflix DGS Federation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2" w:space="0" w:color="A0B4CF"/>
          <w:left w:val="single" w:sz="2" w:space="0" w:color="A0B4CF"/>
          <w:bottom w:val="single" w:sz="2" w:space="0" w:color="A0B4CF"/>
          <w:right w:val="single" w:sz="2" w:space="0" w:color="A0B4CF"/>
          <w:insideH w:val="single" w:sz="2" w:space="0" w:color="A0B4CF"/>
          <w:insideV w:val="single" w:sz="2" w:space="0" w:color="A0B4CF"/>
        </w:tblBorders>
      </w:tblPr>
      <w:tblGrid>
        <w:gridCol w:w="2564"/>
        <w:gridCol w:w="2564"/>
        <w:gridCol w:w="2564"/>
        <w:gridCol w:w="2564"/>
      </w:tblGrid>
      <w:tr>
        <w:trPr>
          <w:trHeight w:val="640" w:hRule="atLeast"/>
        </w:trPr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Total Stories</w:t>
              <w:br/>
            </w:r>
            <w:r>
              <w:rPr>
                <w:b/>
                <w:color w:val="1F497D"/>
                <w:sz w:val="22"/>
              </w:rPr>
              <w:t>13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T-Shirt Size</w:t>
              <w:br/>
            </w:r>
            <w:r>
              <w:rPr>
                <w:b/>
                <w:color w:val="1F497D"/>
                <w:sz w:val="22"/>
              </w:rPr>
              <w:t>M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Complexity</w:t>
              <w:br/>
            </w:r>
            <w:r>
              <w:rPr>
                <w:b/>
                <w:color w:val="1F497D"/>
                <w:sz w:val="22"/>
              </w:rPr>
              <w:t>🔴 0  🟠 1  🟡 6  🟢 6</w:t>
            </w:r>
          </w:p>
        </w:tc>
        <w:tc>
          <w:tcPr>
            <w:tcW w:type="dxa" w:w="2564"/>
            <w:shd w:val="clear" w:color="auto" w:fill="DAE8FC"/>
            <w:vAlign w:val="top"/>
          </w:tcPr>
          <w:p>
            <w:pPr>
              <w:jc w:val="center"/>
            </w:pPr>
            <w:r>
              <w:rPr>
                <w:color w:val="444477"/>
                <w:sz w:val="16"/>
              </w:rPr>
              <w:t>Phases</w:t>
              <w:br/>
            </w:r>
            <w:r>
              <w:rPr>
                <w:b/>
                <w:color w:val="1F497D"/>
                <w:sz w:val="22"/>
              </w:rPr>
              <w:t>B, C, D, E, F, G</w:t>
            </w:r>
          </w:p>
        </w:tc>
      </w:tr>
    </w:tbl>
    <w:p/>
    <w:p>
      <w:pPr>
        <w:spacing w:after="80"/>
      </w:pPr>
      <w:r>
        <w:rPr>
          <w:b/>
          <w:color w:val="373737"/>
          <w:sz w:val="18"/>
        </w:rPr>
        <w:t xml:space="preserve">Target DGS: </w:t>
      </w:r>
      <w:r>
        <w:rPr>
          <w:rFonts w:ascii="Courier New" w:hAnsi="Courier New"/>
          <w:color w:val="1F497D"/>
          <w:sz w:val="18"/>
        </w:rPr>
        <w:t>plm-product (co-located)</w:t>
      </w:r>
      <w:r>
        <w:rPr>
          <w:color w:val="444444"/>
          <w:sz w:val="18"/>
        </w:rPr>
        <w:t xml:space="preserve">   |   Generated: 2026-07-15</w:t>
      </w:r>
    </w:p>
    <w:p>
      <w:pPr>
        <w:spacing w:after="160"/>
      </w:pPr>
      <w:r>
        <w:rPr>
          <w:i/>
          <w:color w:val="444444"/>
          <w:sz w:val="16"/>
        </w:rPr>
        <w:t>🔷 Query · 🔶 Mutation · 🔸 Field Resolver   🔴 Very High · 🟠 High · 🟡 Medium · 🟢 Low   🔴🔬 spike-gated · 📖 B · 🔍 C · ✏️ D · ⚙️ E · 🔗 F · 🧪 G</w:t>
      </w:r>
    </w:p>
    <w:p>
      <w:pPr>
        <w:spacing w:before="240" w:after="80"/>
      </w:pPr>
      <w:r>
        <w:rPr>
          <w:b/>
          <w:color w:val="1F497D"/>
          <w:sz w:val="28"/>
        </w:rPr>
        <w:t>What Are We Building?</w:t>
      </w:r>
    </w:p>
    <w:p>
      <w:pPr>
        <w:spacing w:after="80"/>
      </w:pPr>
      <w:r>
        <w:rPr>
          <w:color w:val="373737"/>
          <w:sz w:val="20"/>
        </w:rPr>
        <w:t xml:space="preserve">- We are moving the </w:t>
      </w:r>
      <w:r>
        <w:rPr>
          <w:b/>
          <w:color w:val="373737"/>
          <w:sz w:val="20"/>
        </w:rPr>
        <w:t>Watchlist</w:t>
      </w:r>
      <w:r>
        <w:rPr>
          <w:color w:val="373737"/>
          <w:sz w:val="20"/>
        </w:rPr>
        <w:t xml:space="preserve"> domain — quality watchlist entries on a product (reasons, statuses, inspections, partners, attachments) — off the </w:t>
      </w:r>
      <w:r>
        <w:rPr>
          <w:rFonts w:ascii="Courier New" w:hAnsi="Courier New"/>
          <w:sz w:val="20"/>
        </w:rPr>
        <w:t>spark-internal-graphql</w:t>
      </w:r>
      <w:r>
        <w:rPr>
          <w:color w:val="373737"/>
          <w:sz w:val="20"/>
        </w:rPr>
        <w:t xml:space="preserve"> gateway into the </w:t>
      </w:r>
      <w:r>
        <w:rPr>
          <w:b/>
          <w:color w:val="373737"/>
          <w:sz w:val="20"/>
        </w:rPr>
        <w:t>`plm-product`</w:t>
      </w:r>
      <w:r>
        <w:rPr>
          <w:color w:val="373737"/>
          <w:sz w:val="20"/>
        </w:rPr>
        <w:t xml:space="preserve"> DGS. - It is </w:t>
      </w:r>
      <w:r>
        <w:rPr>
          <w:b/>
          <w:color w:val="373737"/>
          <w:sz w:val="20"/>
        </w:rPr>
        <w:t>small and mid-low risk</w:t>
      </w:r>
      <w:r>
        <w:rPr>
          <w:color w:val="373737"/>
          <w:sz w:val="20"/>
        </w:rPr>
        <w:t xml:space="preserve">: 4 queries, 3 mutations, 13 field resolvers on a 129-line resolver, with </w:t>
      </w:r>
      <w:r>
        <w:rPr>
          <w:b/>
          <w:color w:val="373737"/>
          <w:sz w:val="20"/>
        </w:rPr>
        <w:t>no polymorphism</w:t>
      </w:r>
      <w:r>
        <w:rPr>
          <w:color w:val="373737"/>
          <w:sz w:val="20"/>
        </w:rPr>
        <w:t xml:space="preserve">. - It is </w:t>
      </w:r>
      <w:r>
        <w:rPr>
          <w:b/>
          <w:color w:val="373737"/>
          <w:sz w:val="20"/>
        </w:rPr>
        <w:t>co-located</w:t>
      </w:r>
      <w:r>
        <w:rPr>
          <w:color w:val="373737"/>
          <w:sz w:val="20"/>
        </w:rPr>
        <w:t xml:space="preserve"> in the product family, so </w:t>
      </w:r>
      <w:r>
        <w:rPr>
          <w:rFonts w:ascii="Courier New" w:hAnsi="Courier New"/>
          <w:sz w:val="20"/>
        </w:rPr>
        <w:t>Product.watchlists</w:t>
      </w:r>
      <w:r>
        <w:rPr>
          <w:color w:val="373737"/>
          <w:sz w:val="20"/>
        </w:rPr>
        <w:t xml:space="preserve"> and the TechPack </w:t>
      </w:r>
      <w:r>
        <w:rPr>
          <w:rFonts w:ascii="Courier New" w:hAnsi="Courier New"/>
          <w:sz w:val="20"/>
        </w:rPr>
        <w:t>ResourcesCount.watchlists</w:t>
      </w:r>
      <w:r>
        <w:rPr>
          <w:color w:val="373737"/>
          <w:sz w:val="20"/>
        </w:rPr>
        <w:t xml:space="preserve"> count resolve </w:t>
      </w:r>
      <w:r>
        <w:rPr>
          <w:b/>
          <w:color w:val="373737"/>
          <w:sz w:val="20"/>
        </w:rPr>
        <w:t>internally</w:t>
      </w:r>
      <w:r>
        <w:rPr>
          <w:color w:val="373737"/>
          <w:sz w:val="20"/>
        </w:rPr>
        <w:t xml:space="preserve"> (not across the federation gateway).</w:t>
      </w:r>
    </w:p>
    <w:p>
      <w:pPr>
        <w:spacing w:after="80"/>
      </w:pPr>
      <w:r>
        <w:rPr>
          <w:color w:val="373737"/>
          <w:sz w:val="20"/>
        </w:rPr>
        <w:t xml:space="preserve">The one genuinely harder piece is </w:t>
      </w:r>
      <w:r>
        <w:rPr>
          <w:b/>
          <w:color w:val="373737"/>
          <w:sz w:val="20"/>
        </w:rPr>
        <w:t>`updateWatchlistEntries`</w:t>
      </w:r>
      <w:r>
        <w:rPr>
          <w:color w:val="373737"/>
          <w:sz w:val="20"/>
        </w:rPr>
        <w:t xml:space="preserve">, a multi-step write (user-group upsert, then the body, then attachment archival) that today </w:t>
      </w:r>
      <w:r>
        <w:rPr>
          <w:b/>
          <w:color w:val="373737"/>
          <w:sz w:val="20"/>
        </w:rPr>
        <w:t>does not await</w:t>
      </w:r>
      <w:r>
        <w:rPr>
          <w:color w:val="373737"/>
          <w:sz w:val="20"/>
        </w:rPr>
        <w:t xml:space="preserve"> its per-entry user-group updates — a race to fix on the port.</w:t>
      </w:r>
    </w:p>
    <w:p>
      <w:pPr>
        <w:spacing w:after="80"/>
      </w:pPr>
      <w:r>
        <w:rPr>
          <w:b/>
          <w:color w:val="373737"/>
          <w:sz w:val="20"/>
        </w:rPr>
        <w:t>ACL note:</w:t>
      </w:r>
      <w:r>
        <w:rPr>
          <w:color w:val="373737"/>
          <w:sz w:val="20"/>
        </w:rPr>
        <w:t xml:space="preserve"> the current code obtains per-resource capability tokens via ACL; Per the program-level working decision, </w:t>
      </w:r>
      <w:r>
        <w:rPr>
          <w:b/>
          <w:color w:val="373737"/>
          <w:sz w:val="20"/>
        </w:rPr>
        <w:t>the DGS layer carries no ACL plumbing story</w:t>
      </w:r>
      <w:r>
        <w:rPr>
          <w:color w:val="373737"/>
          <w:sz w:val="20"/>
        </w:rPr>
        <w:t xml:space="preserve"> — each domain service performs its own access control; scenario ADRs (</w:t>
      </w:r>
      <w:r>
        <w:rPr>
          <w:rFonts w:ascii="Courier New" w:hAnsi="Courier New"/>
          <w:sz w:val="20"/>
        </w:rPr>
        <w:t>complexStories/*/02-adr-noacl-*.md</w:t>
      </w:r>
      <w:r>
        <w:rPr>
          <w:color w:val="373737"/>
          <w:sz w:val="20"/>
        </w:rPr>
        <w:t>) record the assumption's impact and ratify with the global decision. ACL is noted in stories for context only.</w:t>
      </w:r>
    </w:p>
    <w:p>
      <w:pPr>
        <w:spacing w:before="240" w:after="80"/>
      </w:pPr>
      <w:r>
        <w:rPr>
          <w:b/>
          <w:color w:val="1F497D"/>
          <w:sz w:val="28"/>
        </w:rPr>
        <w:t>Migration Scope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Surface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Count</w:t>
            </w:r>
          </w:p>
        </w:tc>
        <w:tc>
          <w:tcPr>
            <w:shd w:val="clear" w:color="auto" w:fill="DAE8FC"/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Queries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cacheable master-data; 1 four-step filtered read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 xml:space="preserve">2 simple + 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 xml:space="preserve"> (multi-step)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Field-resolver type blocks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rFonts w:ascii="Courier New" w:hAnsi="Courier New"/>
                <w:sz w:val="18"/>
              </w:rPr>
              <w:t>Watchlist</w:t>
            </w:r>
            <w:r>
              <w:rPr>
                <w:color w:val="373737"/>
                <w:sz w:val="18"/>
              </w:rPr>
              <w:t xml:space="preserve"> (10), inspection (2), partner (1)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External dependencies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6 keys (2 🔴 · 2 🟡 · 2 🔵)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search/attachment 🔴</w:t>
            </w:r>
          </w:p>
        </w:tc>
      </w:tr>
      <w:tr>
        <w:tc>
          <w:tcPr>
            <w:vAlign w:val="top"/>
            <w:tcW w:w="3168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contributions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(Product, ResourcesCount)</w:t>
            </w:r>
          </w:p>
        </w:tc>
        <w:tc>
          <w:tcPr>
            <w:vAlign w:val="top"/>
            <w:tcW w:w="8352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internal</w:t>
            </w:r>
            <w:r>
              <w:rPr>
                <w:color w:val="373737"/>
                <w:sz w:val="18"/>
              </w:rPr>
              <w:t xml:space="preserve"> (co-located)</w:t>
            </w:r>
          </w:p>
        </w:tc>
      </w:tr>
      <w:tr>
        <w:tc>
          <w:tcPr>
            <w:shd w:val="clear" w:color="auto" w:fill="F5F8FF"/>
            <w:vAlign w:val="top"/>
            <w:tcW w:w="3168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 stories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shd w:val="clear" w:color="auto" w:fill="F5F8FF"/>
            <w:vAlign w:val="top"/>
            <w:tcW w:w="8352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green-field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Spikes &amp; Complex Cases</w:t>
      </w:r>
    </w:p>
    <w:p>
      <w:pPr>
        <w:spacing w:after="60"/>
      </w:pPr>
      <w:r>
        <w:rPr>
          <w:i/>
          <w:color w:val="444444"/>
          <w:sz w:val="18"/>
        </w:rPr>
        <w:t>This domain's complex, cross-cutting problems are tracked once as program spikes in the global breakdown — see 'Phase 0 — Program Spikes' and 'Spike Detail' (the brief, the decision, intended cross-domain steps, and every affected resolver's external deps + current logic) in Federated+Graphql+Stories+-+BreakDown. Nothing from there is repeated here; the stories below just link to it. Follow a story's SPIKE-0x id to the global Spike Detail for the target flow + the external services each resolver calls (see 'How to read the spikes &amp; related stories' in the global doc).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6623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Program spike</w:t>
            </w:r>
          </w:p>
        </w:tc>
        <w:tc>
          <w:tcPr>
            <w:shd w:val="clear" w:color="auto" w:fill="DAE8FC"/>
            <w:vAlign w:val="top"/>
            <w:tcW w:w="345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Bucket</w:t>
            </w:r>
          </w:p>
        </w:tc>
      </w:tr>
      <w:tr>
        <w:tc>
          <w:tcPr>
            <w:vAlign w:val="top"/>
            <w:tcW w:w="6623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🔴🔬 WATCHLIST-BE-E-01 — updateWatchlistEntries (multi-step write)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SPIKE-01</w:t>
            </w:r>
          </w:p>
        </w:tc>
        <w:tc>
          <w:tcPr>
            <w:vAlign w:val="top"/>
            <w:tcW w:w="345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Non-Atomic Write Saga</w:t>
            </w:r>
          </w:p>
        </w:tc>
      </w:tr>
    </w:tbl>
    <w:p/>
    <w:p>
      <w:pPr>
        <w:spacing w:after="120"/>
      </w:pPr>
      <w:r>
        <w:rPr>
          <w:i/>
          <w:color w:val="444444"/>
          <w:sz w:val="18"/>
        </w:rPr>
        <w:t>Simple, intuitive decisions (drift-op cleanup, dead-method audits, auth-token parity, sort/DTO shape) are resolved inline in the owning story — they are not spikes.</w:t>
      </w:r>
    </w:p>
    <w:p>
      <w:pPr>
        <w:spacing w:before="240" w:after="80"/>
      </w:pPr>
      <w:r>
        <w:rPr>
          <w:b/>
          <w:color w:val="1F497D"/>
          <w:sz w:val="28"/>
        </w:rPr>
        <w:t>Effort Snapshot by Phase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564"/>
        <w:gridCol w:w="2564"/>
        <w:gridCol w:w="2564"/>
        <w:gridCol w:w="2564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Phase</w:t>
            </w:r>
          </w:p>
        </w:tc>
        <w:tc>
          <w:tcPr>
            <w:shd w:val="clear" w:color="auto" w:fill="DAE8FC"/>
            <w:vAlign w:val="top"/>
            <w:tcW w:w="43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Name</w:t>
            </w:r>
          </w:p>
        </w:tc>
        <w:tc>
          <w:tcPr>
            <w:shd w:val="clear" w:color="auto" w:fill="DAE8FC"/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Effort (est., +20%)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Core Reads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3–6d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Search &amp; Listing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3–5d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D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Mutations (simple)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Complex (</w:t>
            </w:r>
            <w:r>
              <w:rPr>
                <w:rFonts w:ascii="Courier New" w:hAnsi="Courier New"/>
                <w:sz w:val="18"/>
              </w:rPr>
              <w:t>updateWatchlistEntries</w:t>
            </w:r>
            <w:r>
              <w:rPr>
                <w:color w:val="373737"/>
                <w:sz w:val="18"/>
              </w:rPr>
              <w:t>)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4–7d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Federation (Product + TechPack, internal)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2–4d</w:t>
            </w:r>
          </w:p>
        </w:tc>
      </w:tr>
      <w:tr>
        <w:tc>
          <w:tcPr>
            <w:shd w:val="clear" w:color="auto" w:fill="F5F8FF"/>
            <w:vAlign w:val="top"/>
            <w:tcW w:w="864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</w:t>
            </w:r>
          </w:p>
        </w:tc>
        <w:tc>
          <w:tcPr>
            <w:shd w:val="clear" w:color="auto" w:fill="F5F8FF"/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&amp; Tests</w:t>
            </w:r>
          </w:p>
        </w:tc>
        <w:tc>
          <w:tcPr>
            <w:shd w:val="clear" w:color="auto" w:fill="F5F8FF"/>
            <w:vAlign w:val="top"/>
            <w:tcW w:w="1007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360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9–15d</w:t>
            </w:r>
          </w:p>
        </w:tc>
      </w:tr>
      <w:tr>
        <w:tc>
          <w:tcPr>
            <w:vAlign w:val="top"/>
            <w:tcW w:w="864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Total</w:t>
            </w:r>
          </w:p>
        </w:tc>
        <w:tc>
          <w:tcPr>
            <w:vAlign w:val="top"/>
            <w:tcW w:w="43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—</w:t>
            </w:r>
          </w:p>
        </w:tc>
        <w:tc>
          <w:tcPr>
            <w:vAlign w:val="top"/>
            <w:tcW w:w="1007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13</w:t>
            </w:r>
          </w:p>
        </w:tc>
        <w:tc>
          <w:tcPr>
            <w:vAlign w:val="top"/>
            <w:tcW w:w="3600" w:type="dxa"/>
          </w:tcPr>
          <w:p>
            <w:pPr>
              <w:jc w:val="left"/>
            </w:pPr>
            <w:r>
              <w:rPr>
                <w:b/>
                <w:color w:val="373737"/>
                <w:sz w:val="18"/>
              </w:rPr>
              <w:t>25–44d</w:t>
            </w:r>
            <w:r>
              <w:rPr>
                <w:color w:val="373737"/>
                <w:sz w:val="18"/>
              </w:rPr>
              <w:t xml:space="preserve"> (buffered)</w:t>
            </w:r>
          </w:p>
        </w:tc>
      </w:tr>
    </w:tbl>
    <w:p/>
    <w:p>
      <w:r>
        <w:rPr>
          <w:sz w:val="18"/>
        </w:rPr>
        <w:t xml:space="preserve">ℹ️  </w:t>
      </w:r>
      <w:r>
        <w:rPr>
          <w:color w:val="444444"/>
          <w:sz w:val="18"/>
        </w:rPr>
        <w:t xml:space="preserve">One engineer ≈ </w:t>
      </w:r>
      <w:r>
        <w:rPr>
          <w:b/>
          <w:color w:val="444444"/>
          <w:sz w:val="18"/>
        </w:rPr>
        <w:t>5–9 sprints</w:t>
      </w:r>
      <w:r>
        <w:rPr>
          <w:color w:val="444444"/>
          <w:sz w:val="18"/>
        </w:rPr>
        <w:t>.</w:t>
      </w:r>
    </w:p>
    <w:p>
      <w:pPr>
        <w:spacing w:before="240" w:after="80"/>
      </w:pPr>
      <w:r>
        <w:rPr>
          <w:b/>
          <w:color w:val="373737"/>
          <w:sz w:val="24"/>
        </w:rPr>
        <w:t>Capacity Planning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Team size</w:t>
            </w:r>
          </w:p>
        </w:tc>
        <w:tc>
          <w:tcPr>
            <w:shd w:val="clear" w:color="auto" w:fill="DAE8FC"/>
            <w:vAlign w:val="top"/>
            <w:tcW w:w="288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Calendar</w:t>
            </w:r>
          </w:p>
        </w:tc>
        <w:tc>
          <w:tcPr>
            <w:shd w:val="clear" w:color="auto" w:fill="DAE8FC"/>
            <w:vAlign w:val="top"/>
            <w:tcW w:w="57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Notes</w:t>
            </w:r>
          </w:p>
        </w:tc>
      </w:tr>
      <w:tr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 engineer</w:t>
            </w:r>
          </w:p>
        </w:tc>
        <w:tc>
          <w:tcPr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~6–11 sprints</w:t>
            </w:r>
          </w:p>
        </w:tc>
        <w:tc>
          <w:tcPr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sequential</w:t>
            </w:r>
          </w:p>
        </w:tc>
      </w:tr>
      <w:tr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 engineers</w:t>
            </w:r>
          </w:p>
        </w:tc>
        <w:tc>
          <w:tcPr>
            <w:shd w:val="clear" w:color="auto" w:fill="F5F8FF"/>
            <w:vAlign w:val="top"/>
            <w:tcW w:w="288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~4–6 sprints</w:t>
            </w:r>
          </w:p>
        </w:tc>
        <w:tc>
          <w:tcPr>
            <w:shd w:val="clear" w:color="auto" w:fill="F5F8FF"/>
            <w:vAlign w:val="top"/>
            <w:tcW w:w="57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reads + mutations parallel after B-01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Recommended Sprint Sequencing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3419"/>
        <w:gridCol w:w="3419"/>
        <w:gridCol w:w="3419"/>
      </w:tblGrid>
      <w:tr>
        <w:trPr>
          <w:trHeight w:val="360" w:hRule="atLeast"/>
        </w:trPr>
        <w:tc>
          <w:tcPr>
            <w:shd w:val="clear" w:color="auto" w:fill="DAE8FC"/>
            <w:vAlign w:val="top"/>
            <w:tcW w:w="1296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Sprint</w:t>
            </w:r>
          </w:p>
        </w:tc>
        <w:tc>
          <w:tcPr>
            <w:shd w:val="clear" w:color="auto" w:fill="DAE8FC"/>
            <w:vAlign w:val="top"/>
            <w:tcW w:w="216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Stories</w:t>
            </w:r>
          </w:p>
        </w:tc>
        <w:tc>
          <w:tcPr>
            <w:shd w:val="clear" w:color="auto" w:fill="DAE8FC"/>
            <w:vAlign w:val="top"/>
            <w:tcW w:w="7920" w:type="dxa"/>
          </w:tcPr>
          <w:p>
            <w:pPr>
              <w:jc w:val="left"/>
            </w:pPr>
            <w:r>
              <w:rPr>
                <w:b/>
                <w:color w:val="1F3864"/>
                <w:sz w:val="18"/>
              </w:rPr>
              <w:t>Focus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1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B-01 (DGS module init + service wiring + first resolver)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schema, service port, reads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2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C-01 + D-01/D-02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filtered read + simple mutations</w:t>
            </w:r>
          </w:p>
        </w:tc>
      </w:tr>
      <w:tr>
        <w:tc>
          <w:tcPr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3</w:t>
            </w:r>
          </w:p>
        </w:tc>
        <w:tc>
          <w:tcPr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E-01 + F-01/F-02</w:t>
            </w:r>
          </w:p>
        </w:tc>
        <w:tc>
          <w:tcPr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multi-step update + Product/TechPack internal contributions</w:t>
            </w:r>
          </w:p>
        </w:tc>
      </w:tr>
      <w:tr>
        <w:tc>
          <w:tcPr>
            <w:shd w:val="clear" w:color="auto" w:fill="F5F8FF"/>
            <w:vAlign w:val="top"/>
            <w:tcW w:w="1296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4</w:t>
            </w:r>
          </w:p>
        </w:tc>
        <w:tc>
          <w:tcPr>
            <w:shd w:val="clear" w:color="auto" w:fill="F5F8FF"/>
            <w:vAlign w:val="top"/>
            <w:tcW w:w="216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G-01–G-03 + G-04</w:t>
            </w:r>
          </w:p>
        </w:tc>
        <w:tc>
          <w:tcPr>
            <w:shd w:val="clear" w:color="auto" w:fill="F5F8FF"/>
            <w:vAlign w:val="top"/>
            <w:tcW w:w="7920" w:type="dxa"/>
          </w:tcPr>
          <w:p>
            <w:pPr>
              <w:jc w:val="left"/>
            </w:pPr>
            <w:r>
              <w:rPr>
                <w:color w:val="373737"/>
                <w:sz w:val="18"/>
              </w:rPr>
              <w:t>field resolvers + tests</w:t>
            </w:r>
          </w:p>
        </w:tc>
      </w:tr>
    </w:tbl>
    <w:p/>
    <w:p>
      <w:pPr>
        <w:spacing w:before="240" w:after="80"/>
      </w:pPr>
      <w:r>
        <w:rPr>
          <w:b/>
          <w:color w:val="1F497D"/>
          <w:sz w:val="28"/>
        </w:rPr>
        <w:t>Jira Stories by Phase</w:t>
      </w:r>
    </w:p>
    <w:p>
      <w:pPr>
        <w:spacing w:after="120"/>
      </w:pPr>
      <w:r>
        <w:rPr>
          <w:i/>
          <w:color w:val="444444"/>
          <w:sz w:val="18"/>
        </w:rPr>
        <w:t>Each row is one Jira story. Complexity drives T-shirt sizing in refinement. 'Depends On' lists blocking story IDs within this domain.</w:t>
      </w:r>
    </w:p>
    <w:p>
      <w:pPr>
        <w:spacing w:before="200" w:after="60"/>
        <w:shd w:val="clear" w:color="auto" w:fill="D6E4F0"/>
      </w:pPr>
      <w:r>
        <w:rPr>
          <w:b/>
          <w:color w:val="1F3864"/>
          <w:sz w:val="22"/>
        </w:rPr>
        <w:t>📖 Phase B — Core Reads  (3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getWatchlistByIds(ids)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—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Fetch watchlist entries by id.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GET watchlist/v1?watchlistIds={csv} → camelCase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entries for ids; empty → []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getWatchlistReasons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watchlist-reason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watchlist/v1/watchlist_reasons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reasons; cached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WATCHLIST-BE-B-03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getWatchlistInspectionActions</w:t>
            </w:r>
            <w:r>
              <w:rPr>
                <w:color w:val="373737"/>
                <w:sz w:val="17"/>
              </w:rPr>
              <w:t xml:space="preserve"> (cacheable)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Return the inspection-action lookup (cached).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GET watchlist/v1/watchlist_inspection_action_types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returns actions; cached</w:t>
            </w:r>
          </w:p>
        </w:tc>
      </w:tr>
    </w:tbl>
    <w:p/>
    <w:p>
      <w:pPr>
        <w:spacing w:after="40"/>
        <w:ind w:left="216"/>
      </w:pPr>
      <w:r>
        <w:rPr>
          <w:sz w:val="18"/>
        </w:rPr>
        <w:t xml:space="preserve">ℹ️  </w:t>
      </w:r>
      <w:r>
        <w:rPr>
          <w:color w:val="444444"/>
          <w:sz w:val="17"/>
        </w:rPr>
        <w:t xml:space="preserve">WATCHLIST-BE-B-01: </w:t>
      </w:r>
      <w:r>
        <w:rPr>
          <w:b/>
          <w:color w:val="444444"/>
          <w:sz w:val="17"/>
        </w:rPr>
        <w:t>Note — DGS Module Init (this PR only):</w:t>
      </w:r>
      <w:r>
        <w:rPr>
          <w:color w:val="444444"/>
          <w:sz w:val="17"/>
        </w:rPr>
        <w:t xml:space="preserve"> Creates </w:t>
      </w:r>
      <w:r>
        <w:rPr>
          <w:rFonts w:ascii="Courier New" w:hAnsi="Courier New"/>
          <w:sz w:val="17"/>
        </w:rPr>
        <w:t>watchlist.graphqls</w:t>
      </w:r>
      <w:r>
        <w:rPr>
          <w:color w:val="444444"/>
          <w:sz w:val="17"/>
        </w:rPr>
        <w:t xml:space="preserve"> (federation v2.3 header, scalars, owned types with </w:t>
      </w:r>
      <w:r>
        <w:rPr>
          <w:rFonts w:ascii="Courier New" w:hAnsi="Courier New"/>
          <w:sz w:val="17"/>
        </w:rPr>
        <w:t>@key</w:t>
      </w:r>
      <w:r>
        <w:rPr>
          <w:color w:val="444444"/>
          <w:sz w:val="17"/>
        </w:rPr>
        <w:t xml:space="preserve">, external stubs), registers scalars in </w:t>
      </w:r>
      <w:r>
        <w:rPr>
          <w:rFonts w:ascii="Courier New" w:hAnsi="Courier New"/>
          <w:sz w:val="17"/>
        </w:rPr>
        <w:t>ScalarConfig.kt</w:t>
      </w:r>
      <w:r>
        <w:rPr>
          <w:color w:val="444444"/>
          <w:sz w:val="17"/>
        </w:rPr>
        <w:t>, and wires the service and Feign client. Full type list: [03-schema.graphql](./03-schema.graphql).</w:t>
      </w:r>
    </w:p>
    <w:p/>
    <w:p>
      <w:pPr>
        <w:spacing w:before="200" w:after="60"/>
        <w:shd w:val="clear" w:color="auto" w:fill="D6EDDA"/>
      </w:pPr>
      <w:r>
        <w:rPr>
          <w:b/>
          <w:color w:val="1A4731"/>
          <w:sz w:val="22"/>
        </w:rPr>
        <w:t>🔍 Phase C — Search &amp; Listing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🔷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WATCHLIST-BE-C-01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getWatchlistByFilter(...)</w:t>
            </w:r>
            <w:r>
              <w:rPr>
                <w:color w:val="373737"/>
                <w:sz w:val="17"/>
              </w:rPr>
              <w:t xml:space="preserve"> (4-step read)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Query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search, product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List watchlist entries for a workspace's products (a 4-step read).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(internal) product.getWorkspaceProducts({q,filter,workspaceId,page,size}) → product humanIds → (search) searchWatchlist({ q:"parentId:(... OR ...) AND…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product→search→watchlist chain preserved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elastic query string exact (incl. </w:t>
            </w:r>
            <w:r>
              <w:rPr>
                <w:rFonts w:ascii="Courier New" w:hAnsi="Courier New"/>
                <w:sz w:val="17"/>
              </w:rPr>
              <w:t>statusId: 501</w:t>
            </w:r>
            <w:r>
              <w:rPr>
                <w:color w:val="373737"/>
                <w:sz w:val="17"/>
              </w:rPr>
              <w:t>)</w:t>
            </w:r>
          </w:p>
        </w:tc>
      </w:tr>
    </w:tbl>
    <w:p/>
    <w:p>
      <w:pPr>
        <w:spacing w:before="200" w:after="60"/>
        <w:shd w:val="clear" w:color="auto" w:fill="FFF3CD"/>
      </w:pPr>
      <w:r>
        <w:rPr>
          <w:b/>
          <w:color w:val="7D5002"/>
          <w:sz w:val="22"/>
        </w:rPr>
        <w:t>✏️ Phase D — Mutations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createWatchlistEntries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userGroup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Create watchlist entries (and their user-groups).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Promise.all(entries.map(w =&gt; { createWatchlistEntries([w]); throw on validationErrors/message; then (user-group) addUserGroup({resourceId:humanId, participantDetails…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creates each entry + its user group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either failure → exception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WATCHLIST-BE-D-02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cloneFilesForWatchlist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Copy attachment files for watchlist entries.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token → Promise.all(attachmentIds.map((id,i) =&gt; (attachment) cloneAttachmentV3({cloneReferences:[cloneReference[i]]}, id))), stamp parentResource=id, flatten. EXT…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 xml:space="preserve">clones each id with its paired cloneReference; </w:t>
            </w:r>
            <w:r>
              <w:rPr>
                <w:rFonts w:ascii="Courier New" w:hAnsi="Courier New"/>
                <w:sz w:val="17"/>
              </w:rPr>
              <w:t>parentResource</w:t>
            </w:r>
            <w:r>
              <w:rPr>
                <w:color w:val="373737"/>
                <w:sz w:val="17"/>
              </w:rPr>
              <w:t xml:space="preserve"> stamped</w:t>
            </w:r>
          </w:p>
        </w:tc>
      </w:tr>
    </w:tbl>
    <w:p/>
    <w:p>
      <w:pPr>
        <w:spacing w:before="200" w:after="60"/>
        <w:shd w:val="clear" w:color="auto" w:fill="FFE0CC"/>
      </w:pPr>
      <w:r>
        <w:rPr>
          <w:b/>
          <w:color w:val="7A2104"/>
          <w:sz w:val="22"/>
        </w:rPr>
        <w:t>⚙️ Phase E — Complex Operations  (1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1709"/>
        <w:gridCol w:w="1709"/>
        <w:gridCol w:w="1709"/>
        <w:gridCol w:w="1709"/>
        <w:gridCol w:w="1709"/>
        <w:gridCol w:w="1709"/>
      </w:tblGrid>
      <w:tr>
        <w:trPr>
          <w:trHeight w:val="320" w:hRule="atLeast"/>
        </w:trPr>
        <w:tc>
          <w:tcPr>
            <w:shd w:val="clear" w:color="auto" w:fill="DAE8FC"/>
            <w:tcW w:w="2304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08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655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29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4320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Key Tests</w:t>
            </w:r>
          </w:p>
        </w:tc>
      </w:tr>
      <w:tr>
        <w:tc>
          <w:tcPr>
            <w:tcW w:w="2304" w:type="dxa"/>
          </w:tcPr>
          <w:p>
            <w:pPr>
              <w:spacing w:after="20"/>
            </w:pPr>
            <w:r>
              <w:rPr>
                <w:sz w:val="18"/>
              </w:rPr>
              <w:t xml:space="preserve">🔴🔬 </w:t>
            </w:r>
            <w:r>
              <w:rPr>
                <w:sz w:val="18"/>
              </w:rPr>
              <w:t xml:space="preserve">🔶 </w:t>
            </w:r>
            <w:r>
              <w:rPr>
                <w:rFonts w:ascii="Courier New" w:hAnsi="Courier New"/>
                <w:b/>
                <w:color w:val="C0392B"/>
                <w:sz w:val="17"/>
              </w:rPr>
              <w:t>WATCHLIST-BE-E-01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updateWatchlistEntries</w:t>
            </w:r>
            <w:r>
              <w:rPr>
                <w:color w:val="373737"/>
                <w:sz w:val="17"/>
              </w:rPr>
              <w:t xml:space="preserve"> (multi-step write)</w:t>
            </w:r>
          </w:p>
          <w:p>
            <w:pPr>
              <w:spacing w:after="20"/>
            </w:pPr>
            <w:r>
              <w:rPr>
                <w:i/>
                <w:color w:val="C0392B"/>
                <w:sz w:val="16"/>
              </w:rPr>
              <w:t>🔴🔬 Spike-gated on SPIKE-01 (Non-Atomic Write Saga)</w:t>
            </w:r>
          </w:p>
        </w:tc>
        <w:tc>
          <w:tcPr>
            <w:tcW w:w="1080" w:type="dxa"/>
          </w:tcPr>
          <w:p>
            <w:pPr>
              <w:spacing w:after="20"/>
            </w:pPr>
            <w:r>
              <w:rPr>
                <w:color w:val="D35400"/>
                <w:sz w:val="17"/>
              </w:rPr>
              <w:t>🟠 High [L]</w:t>
            </w:r>
          </w:p>
        </w:tc>
        <w:tc>
          <w:tcPr>
            <w:tcW w:w="1655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Mutation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attachment, userGroup</w:t>
            </w:r>
          </w:p>
        </w:tc>
        <w:tc>
          <w:tcPr>
            <w:tcW w:w="1296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SPIKE-01, B-01</w:t>
            </w:r>
          </w:p>
        </w:tc>
        <w:tc>
          <w:tcPr>
            <w:tcW w:w="4320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Edit watchlist entries — a multi-step write (user-groups + body); today the group step isn't awaited (a bug).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per-entry (currently NOT awaited — bug): getUserGroups([humanId]); if existing participants → updateUserGroup, else (user-group) addUserGroup (throw on error); 2)…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user-group upserts complete before the watchlist update (race fixed)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removed attachments archived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partial-failure strategy</w:t>
            </w:r>
          </w:p>
        </w:tc>
        <w:tc>
          <w:tcPr>
            <w:tcW w:w="2448" w:type="dxa"/>
          </w:tcPr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existing-participants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new-participants path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attachment archive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ordering/await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partial-failure</w:t>
            </w:r>
          </w:p>
          <w:p>
            <w:pPr>
              <w:spacing w:after="20"/>
            </w:pPr>
            <w:r>
              <w:rPr>
                <w:sz w:val="17"/>
              </w:rPr>
              <w:t xml:space="preserve">☐  </w:t>
            </w:r>
            <w:r>
              <w:rPr>
                <w:color w:val="373737"/>
                <w:sz w:val="17"/>
              </w:rPr>
              <w:t>Parity: DGS response matches spark-internal-graphql baseline</w:t>
            </w:r>
          </w:p>
        </w:tc>
      </w:tr>
    </w:tbl>
    <w:p/>
    <w:p>
      <w:pPr>
        <w:spacing w:before="200" w:after="60"/>
        <w:shd w:val="clear" w:color="auto" w:fill="EDE0F8"/>
      </w:pPr>
      <w:r>
        <w:rPr>
          <w:b/>
          <w:color w:val="4A0F7A"/>
          <w:sz w:val="22"/>
        </w:rPr>
        <w:t>🔗 Phase F — Federation &amp; Stitching  (2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WATCHLIST-BE-F-01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Product.watchlists</w:t>
            </w:r>
            <w:r>
              <w:rPr>
                <w:color w:val="373737"/>
                <w:sz w:val="17"/>
              </w:rPr>
              <w:t xml:space="preserve"> (internal)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Expose a product's watchlists on the Product type.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Product exposes watchlists resolved from the co-located watchlist service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resolves in-process; no gateway hop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WATCHLIST-BE-F-02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ResourcesCount.watchlists</w:t>
            </w:r>
            <w:r>
              <w:rPr>
                <w:color w:val="373737"/>
                <w:sz w:val="17"/>
              </w:rPr>
              <w:t xml:space="preserve"> (internal — TechPack)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Contribute the watchlists count to the TechPack rollup.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fill the TechPack `ResourcesCount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count resolves in-process; parity vs the TechPack facade</w:t>
            </w:r>
          </w:p>
        </w:tc>
      </w:tr>
    </w:tbl>
    <w:p/>
    <w:p>
      <w:pPr>
        <w:spacing w:before="200" w:after="60"/>
        <w:shd w:val="clear" w:color="auto" w:fill="D4EFDF"/>
      </w:pPr>
      <w:r>
        <w:rPr>
          <w:b/>
          <w:color w:val="0A4023"/>
          <w:sz w:val="22"/>
        </w:rPr>
        <w:t>🧪 Phase G — Field Resolvers &amp; Tests  (4 stories)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2051"/>
        <w:gridCol w:w="2051"/>
        <w:gridCol w:w="2051"/>
        <w:gridCol w:w="2051"/>
        <w:gridCol w:w="2051"/>
      </w:tblGrid>
      <w:tr>
        <w:trPr>
          <w:trHeight w:val="320" w:hRule="atLeast"/>
        </w:trPr>
        <w:tc>
          <w:tcPr>
            <w:shd w:val="clear" w:color="auto" w:fill="DAE8FC"/>
            <w:tcW w:w="244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Story</w:t>
            </w:r>
          </w:p>
        </w:tc>
        <w:tc>
          <w:tcPr>
            <w:shd w:val="clear" w:color="auto" w:fill="DAE8FC"/>
            <w:tcW w:w="115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Complexity</w:t>
            </w:r>
          </w:p>
        </w:tc>
        <w:tc>
          <w:tcPr>
            <w:shd w:val="clear" w:color="auto" w:fill="DAE8FC"/>
            <w:tcW w:w="1872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Type / Calls</w:t>
            </w:r>
          </w:p>
        </w:tc>
        <w:tc>
          <w:tcPr>
            <w:shd w:val="clear" w:color="auto" w:fill="DAE8FC"/>
            <w:tcW w:w="1368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Depends On</w:t>
            </w:r>
          </w:p>
        </w:tc>
        <w:tc>
          <w:tcPr>
            <w:shd w:val="clear" w:color="auto" w:fill="DAE8FC"/>
            <w:tcW w:w="5976" w:type="dxa"/>
          </w:tcPr>
          <w:p>
            <w:pPr>
              <w:spacing w:after="20"/>
            </w:pPr>
            <w:r>
              <w:rPr>
                <w:b/>
                <w:color w:val="1F3864"/>
                <w:sz w:val="18"/>
              </w:rPr>
              <w:t>Acceptance Criteria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WATCHLIST-BE-G-01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Computed flatteners (status/reasons/inspection action)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1E7A34"/>
                <w:sz w:val="17"/>
              </w:rPr>
              <w:t>🟢 Low [XS]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Flatten status / reason / inspection-action codes into readable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statusId=status.code, statusName=status.description, reasonIds=reasons[].code, reasons=reasons[].description; WatchlistInspection.actionId=action.code…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flattener maps correctly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WATCHLIST-BE-G-02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createdBy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updatedBy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workspaces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participantDetails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partnerName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userAttributes, workspaceV2, userGroup, vmm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the people, workspace and partner fields.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each resolves; null-safe</w:t>
            </w:r>
          </w:p>
        </w:tc>
      </w:tr>
      <w:tr>
        <w:tc>
          <w:tcPr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🔸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WATCHLIST-BE-G-03</w:t>
            </w:r>
          </w:p>
          <w:p>
            <w:pPr>
              <w:spacing w:after="20"/>
            </w:pPr>
            <w:r>
              <w:rPr>
                <w:rFonts w:ascii="Courier New" w:hAnsi="Courier New"/>
                <w:sz w:val="17"/>
              </w:rPr>
              <w:t>attachments</w:t>
            </w:r>
            <w:r>
              <w:rPr>
                <w:color w:val="373737"/>
                <w:sz w:val="17"/>
              </w:rPr>
              <w:t xml:space="preserve"> + </w:t>
            </w:r>
            <w:r>
              <w:rPr>
                <w:rFonts w:ascii="Courier New" w:hAnsi="Courier New"/>
                <w:sz w:val="17"/>
              </w:rPr>
              <w:t>product</w:t>
            </w:r>
          </w:p>
        </w:tc>
        <w:tc>
          <w:tcPr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Field Resolver</w:t>
            </w:r>
          </w:p>
          <w:p>
            <w:pPr>
              <w:spacing w:after="20"/>
            </w:pPr>
            <w:r>
              <w:rPr>
                <w:color w:val="444444"/>
                <w:sz w:val="16"/>
              </w:rPr>
              <w:t xml:space="preserve">Calls: </w:t>
            </w:r>
            <w:r>
              <w:rPr>
                <w:color w:val="373737"/>
                <w:sz w:val="16"/>
              </w:rPr>
              <w:t>search</w:t>
            </w:r>
          </w:p>
        </w:tc>
        <w:tc>
          <w:tcPr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</w:t>
            </w:r>
          </w:p>
        </w:tc>
        <w:tc>
          <w:tcPr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Resolve a watchlist entry's attachments and parent product.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attachments via elastic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rFonts w:ascii="Courier New" w:hAnsi="Courier New"/>
                <w:sz w:val="17"/>
              </w:rPr>
              <w:t>product</w:t>
            </w:r>
            <w:r>
              <w:rPr>
                <w:color w:val="373737"/>
                <w:sz w:val="17"/>
              </w:rPr>
              <w:t xml:space="preserve"> null when not </w:t>
            </w:r>
            <w:r>
              <w:rPr>
                <w:rFonts w:ascii="Courier New" w:hAnsi="Courier New"/>
                <w:sz w:val="17"/>
              </w:rPr>
              <w:t>PID*</w:t>
            </w:r>
          </w:p>
        </w:tc>
      </w:tr>
      <w:tr>
        <w:tc>
          <w:tcPr>
            <w:shd w:val="clear" w:color="auto" w:fill="F5F8FF"/>
            <w:tcW w:w="2448" w:type="dxa"/>
          </w:tcPr>
          <w:p>
            <w:pPr>
              <w:spacing w:after="20"/>
            </w:pPr>
            <w:r>
              <w:rPr>
                <w:sz w:val="18"/>
              </w:rPr>
              <w:t xml:space="preserve">📄 </w:t>
            </w:r>
            <w:r>
              <w:rPr>
                <w:rFonts w:ascii="Courier New" w:hAnsi="Courier New"/>
                <w:b/>
                <w:color w:val="1F497D"/>
                <w:sz w:val="17"/>
              </w:rPr>
              <w:t>WATCHLIST-BE-G-04</w:t>
            </w:r>
          </w:p>
          <w:p>
            <w:pPr>
              <w:spacing w:after="20"/>
            </w:pPr>
            <w:r>
              <w:rPr>
                <w:color w:val="373737"/>
                <w:sz w:val="17"/>
              </w:rPr>
              <w:t>Tests, parity harness</w:t>
            </w:r>
          </w:p>
        </w:tc>
        <w:tc>
          <w:tcPr>
            <w:shd w:val="clear" w:color="auto" w:fill="F5F8FF"/>
            <w:tcW w:w="1152" w:type="dxa"/>
          </w:tcPr>
          <w:p>
            <w:pPr>
              <w:spacing w:after="20"/>
            </w:pPr>
            <w:r>
              <w:rPr>
                <w:color w:val="9B7A00"/>
                <w:sz w:val="17"/>
              </w:rPr>
              <w:t>🟡 Medium [M]</w:t>
            </w:r>
          </w:p>
        </w:tc>
        <w:tc>
          <w:tcPr>
            <w:shd w:val="clear" w:color="auto" w:fill="F5F8FF"/>
            <w:tcW w:w="1872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Tests</w:t>
            </w:r>
          </w:p>
        </w:tc>
        <w:tc>
          <w:tcPr>
            <w:shd w:val="clear" w:color="auto" w:fill="F5F8FF"/>
            <w:tcW w:w="1368" w:type="dxa"/>
          </w:tcPr>
          <w:p>
            <w:pPr>
              <w:spacing w:after="20"/>
            </w:pPr>
            <w:r>
              <w:rPr>
                <w:color w:val="444444"/>
                <w:sz w:val="17"/>
              </w:rPr>
              <w:t>B-01, C-01, E-01, G-02</w:t>
            </w:r>
          </w:p>
        </w:tc>
        <w:tc>
          <w:tcPr>
            <w:shd w:val="clear" w:color="auto" w:fill="F5F8FF"/>
            <w:tcW w:w="5976" w:type="dxa"/>
          </w:tcPr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Intent — </w:t>
            </w:r>
            <w:r>
              <w:rPr>
                <w:color w:val="373737"/>
                <w:sz w:val="17"/>
              </w:rPr>
              <w:t>Prove the watchlist subgraph matches the old gateway.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 xml:space="preserve">Today — </w:t>
            </w:r>
            <w:r>
              <w:rPr>
                <w:color w:val="373737"/>
                <w:sz w:val="17"/>
              </w:rPr>
              <w:t>≥80% unit coverage; parity fixtures (incl</w:t>
            </w:r>
          </w:p>
          <w:p>
            <w:pPr>
              <w:spacing w:after="20"/>
            </w:pPr>
            <w:r>
              <w:rPr>
                <w:b/>
                <w:color w:val="373737"/>
                <w:sz w:val="17"/>
              </w:rPr>
              <w:t>Done when: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unit ≥80%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parity green</w:t>
            </w:r>
          </w:p>
          <w:p>
            <w:pPr>
              <w:spacing w:after="20"/>
              <w:ind w:left="173"/>
            </w:pPr>
            <w:r>
              <w:rPr>
                <w:color w:val="444444"/>
                <w:sz w:val="17"/>
              </w:rPr>
              <w:t xml:space="preserve">• </w:t>
            </w:r>
            <w:r>
              <w:rPr>
                <w:color w:val="373737"/>
                <w:sz w:val="17"/>
              </w:rPr>
              <w:t>schema-diff intentional</w:t>
            </w:r>
          </w:p>
        </w:tc>
      </w:tr>
    </w:tbl>
    <w:p/>
    <w:sectPr w:rsidR="00FC693F" w:rsidRPr="0006063C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