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40"/>
        </w:rPr>
        <w:t>Federated GraphQL — Migration Overview (All Domains)</w:t>
      </w:r>
    </w:p>
    <w:p>
      <w:pPr>
        <w:spacing w:after="200"/>
      </w:pPr>
      <w:r>
        <w:rPr>
          <w:i/>
          <w:color w:val="444444"/>
          <w:sz w:val="22"/>
        </w:rPr>
        <w:t>Generated: 2026-07-19  ·  8 domains  ·  spark-internal-graphql → Netflix DGS via Hive Schema Registry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28"/>
        <w:gridCol w:w="5128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Program</w:t>
            </w:r>
          </w:p>
        </w:tc>
        <w:tc>
          <w:tcPr>
            <w:shd w:val="clear" w:color="auto" w:fill="DAE8FC"/>
            <w:vAlign w:val="top"/>
            <w:tcW w:w="79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spark-internal-graphql → Netflix DGS Federation (Hive Registry)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Domains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8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Target DGS services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Total Backend Stories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201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Total Frontend Stories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40 · 163–254d single-engineer (Frontend section of each per-domain FederatedGqlBreakDown-&lt;domain&gt; page)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Complexity (backend)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6 Very High · 🟠 13 High · 🟡 74 Medium · 🟢 108 Low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Generated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2026-07-19</w:t>
            </w:r>
          </w:p>
        </w:tc>
      </w:tr>
    </w:tbl>
    <w:p/>
    <w:p>
      <w:pPr>
        <w:spacing w:after="160"/>
      </w:pPr>
    </w:p>
    <w:p>
      <w:pPr>
        <w:spacing w:before="240" w:after="80"/>
      </w:pPr>
      <w:r>
        <w:rPr>
          <w:b/>
          <w:color w:val="1F497D"/>
          <w:sz w:val="28"/>
        </w:rPr>
        <w:t>Overview</w:t>
      </w:r>
    </w:p>
    <w:p>
      <w:pPr>
        <w:spacing w:after="60"/>
      </w:pPr>
      <w:r>
        <w:rPr>
          <w:color w:val="373737"/>
          <w:sz w:val="19"/>
        </w:rPr>
        <w:t xml:space="preserve">We are migrating the entire Product Lifecycle Management (PLM) GraphQL API surface off the monolithic </w:t>
      </w:r>
      <w:r>
        <w:rPr>
          <w:rFonts w:ascii="Courier New" w:hAnsi="Courier New"/>
          <w:sz w:val="19"/>
        </w:rPr>
        <w:t>spark-internal-graphql</w:t>
      </w:r>
      <w:r>
        <w:rPr>
          <w:color w:val="373737"/>
          <w:sz w:val="19"/>
        </w:rPr>
        <w:t xml:space="preserve"> Node.js gateway onto a set of independently owned </w:t>
      </w:r>
      <w:r>
        <w:rPr>
          <w:b/>
          <w:color w:val="373737"/>
          <w:sz w:val="19"/>
        </w:rPr>
        <w:t>Netflix DGS</w:t>
      </w:r>
      <w:r>
        <w:rPr>
          <w:color w:val="373737"/>
          <w:sz w:val="19"/>
        </w:rPr>
        <w:t xml:space="preserve"> (Domain Graph Service) subgraphs, federated via the </w:t>
      </w:r>
      <w:r>
        <w:rPr>
          <w:b/>
          <w:color w:val="373737"/>
          <w:sz w:val="19"/>
        </w:rPr>
        <w:t>Hive Schema Registry</w:t>
      </w:r>
      <w:r>
        <w:rPr>
          <w:color w:val="373737"/>
          <w:sz w:val="19"/>
        </w:rPr>
        <w:t>.</w:t>
      </w:r>
    </w:p>
    <w:p>
      <w:pPr>
        <w:spacing w:after="60"/>
      </w:pPr>
      <w:r>
        <w:rPr>
          <w:color w:val="373737"/>
          <w:sz w:val="19"/>
        </w:rPr>
        <w:t>Each DGS is a Kotlin/Spring Boot service that exposes its domain's schema as a federated subgraph. The supergraph stitches them together transparently for clients.</w:t>
      </w:r>
    </w:p>
    <w:p>
      <w:pPr>
        <w:spacing w:after="60"/>
      </w:pPr>
      <w:r>
        <w:rPr>
          <w:b/>
          <w:color w:val="373737"/>
          <w:sz w:val="19"/>
        </w:rPr>
        <w:t>Why?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The monolith is a ~15,000-line Node.js resolver with no clear ownership boundaries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Federation gives each team autonomous schema ownership, independent deployability, and fine-grained caching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Netflix DGS provides production-proven tooling (DataLoaders, code generation, Hive integration)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Hive Schema Registry enforces schema contracts and enables safe rollout with schema checks</w:t>
      </w:r>
    </w:p>
    <w:p>
      <w:pPr>
        <w:spacing w:after="60"/>
      </w:pPr>
      <w:r>
        <w:rPr>
          <w:b/>
          <w:color w:val="373737"/>
          <w:sz w:val="19"/>
        </w:rPr>
        <w:t>Engineering model:</w:t>
      </w:r>
      <w:r>
        <w:rPr>
          <w:color w:val="373737"/>
          <w:sz w:val="19"/>
        </w:rPr>
        <w:t xml:space="preserve"> every story is self-contained in one PR — schema additions, DGS data fetcher, Kotlin REST service method, and Hive registry push. There are no separate service-layer stories.</w:t>
      </w:r>
    </w:p>
    <w:p>
      <w:pPr>
        <w:spacing w:after="60"/>
      </w:pPr>
      <w:r>
        <w:rPr>
          <w:b/>
          <w:color w:val="373737"/>
          <w:sz w:val="19"/>
        </w:rPr>
        <w:t>ACL note:</w:t>
      </w:r>
      <w:r>
        <w:rPr>
          <w:color w:val="373737"/>
          <w:sz w:val="19"/>
        </w:rPr>
        <w:t xml:space="preserve"> the current gateway obtains per-resource ACL capability tokens. Per ADR-019 (</w:t>
      </w:r>
      <w:r>
        <w:rPr>
          <w:rFonts w:ascii="Courier New" w:hAnsi="Courier New"/>
          <w:sz w:val="19"/>
        </w:rPr>
        <w:t>complexStories/acl/01-adr-acl-mid-request-update.md</w:t>
      </w:r>
      <w:r>
        <w:rPr>
          <w:color w:val="373737"/>
          <w:sz w:val="19"/>
        </w:rPr>
        <w:t xml:space="preserve">), permission-check and own-domain-token call sites stay resolver-local (context-only, as before); the 31 downstream-token call sites — where a resolver hands its token to a </w:t>
      </w:r>
      <w:r>
        <w:rPr>
          <w:i/>
          <w:color w:val="373737"/>
          <w:sz w:val="19"/>
        </w:rPr>
        <w:t>different</w:t>
      </w:r>
      <w:r>
        <w:rPr>
          <w:color w:val="373737"/>
          <w:sz w:val="19"/>
        </w:rPr>
        <w:t xml:space="preserve"> domain's loader — use </w:t>
      </w:r>
      <w:r>
        <w:rPr>
          <w:b/>
          <w:color w:val="373737"/>
          <w:sz w:val="19"/>
        </w:rPr>
        <w:t>Mid-Request ACL Update</w:t>
      </w:r>
      <w:r>
        <w:rPr>
          <w:color w:val="373737"/>
          <w:sz w:val="19"/>
        </w:rPr>
        <w:t xml:space="preserve"> (</w:t>
      </w:r>
      <w:r>
        <w:rPr>
          <w:rFonts w:ascii="Courier New" w:hAnsi="Courier New"/>
          <w:sz w:val="19"/>
        </w:rPr>
        <w:t>SparkSecurityService.updateCurrentUserPermissions(capabilityToken)</w:t>
      </w:r>
      <w:r>
        <w:rPr>
          <w:color w:val="373737"/>
          <w:sz w:val="19"/>
        </w:rPr>
        <w:t>) before the downstream call. Each complex case's own ADR carries an ACL note applying this classification to its specific call sites.</w:t>
      </w:r>
    </w:p>
    <w:p>
      <w:pPr>
        <w:spacing w:before="240" w:after="80"/>
      </w:pPr>
      <w:r>
        <w:rPr>
          <w:b/>
          <w:color w:val="1F497D"/>
          <w:sz w:val="28"/>
        </w:rPr>
        <w:t>Glossary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28"/>
        <w:gridCol w:w="5128"/>
      </w:tblGrid>
      <w:tr>
        <w:trPr>
          <w:trHeight w:val="360" w:hRule="atLeast"/>
        </w:trPr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Term</w:t>
            </w:r>
          </w:p>
        </w:tc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Meaning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DGS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Netflix Domain Graph Service — a Spring/Kotlin GraphQL subgraph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Hive Gateway / plm-gateway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the federation gateway that composes the subgraphs into one supergraph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subgraph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one DGS (e.g. </w:t>
            </w:r>
            <w:r>
              <w:rPr>
                <w:rFonts w:ascii="Courier New" w:hAnsi="Courier New"/>
                <w:sz w:val="18"/>
              </w:rPr>
              <w:t>plm-product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plm-sample</w:t>
            </w:r>
            <w:r>
              <w:rPr>
                <w:color w:val="373737"/>
                <w:sz w:val="18"/>
              </w:rPr>
              <w:t>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co-located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a domain compiling into </w:t>
            </w:r>
            <w:r>
              <w:rPr>
                <w:rFonts w:ascii="Courier New" w:hAnsi="Courier New"/>
                <w:sz w:val="18"/>
              </w:rPr>
              <w:t>plm-product</w:t>
            </w:r>
            <w:r>
              <w:rPr>
                <w:color w:val="373737"/>
                <w:sz w:val="18"/>
              </w:rPr>
              <w:t xml:space="preserve"> (in-process call, not a gateway hop)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CAT-1…5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story categories: 1 schema · 2 resolver · 3 service · 4 federation · 5 tests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Phase A–H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the migration order within a domain (see the phases table below)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EXT severity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critical/sequential · 🟡 single enrichment call · 🔵 optional/gateway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The migration phases (A→H) — the order of replacement</w:t>
      </w:r>
    </w:p>
    <w:p>
      <w:pPr>
        <w:spacing w:after="60"/>
      </w:pPr>
      <w:r>
        <w:rPr>
          <w:color w:val="373737"/>
          <w:sz w:val="19"/>
        </w:rPr>
        <w:t>Stories are grouped into phases that encode the replacement order within a domain: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Phase</w:t>
            </w:r>
          </w:p>
        </w:tc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Replaces / builds</w:t>
            </w:r>
          </w:p>
        </w:tc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Category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A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schema skeleton, owned types, external stubs, </w:t>
            </w:r>
            <w:r>
              <w:rPr>
                <w:rFonts w:ascii="Courier New" w:hAnsi="Courier New"/>
                <w:sz w:val="18"/>
              </w:rPr>
              <w:t>@DgsTypeResolver</w:t>
            </w:r>
            <w:r>
              <w:rPr>
                <w:color w:val="373737"/>
                <w:sz w:val="18"/>
              </w:rPr>
              <w:t>, service port, ACL/JWT plumbing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CAT-1/CAT-3</w:t>
            </w:r>
          </w:p>
        </w:tc>
      </w:tr>
      <w:tr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B / C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resolvers (reads)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CAT-2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D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 resolvers (writes)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CAT-2</w:t>
            </w:r>
          </w:p>
        </w:tc>
      </w:tr>
      <w:tr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E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operations (multi-step writes, aggregations) — often a stub + facade pointing at a complex case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CAT-2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F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platform work — gateway composition, facade retirement, stub verification, contract alignment (not entity resolution itself)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CAT-4</w:t>
            </w:r>
          </w:p>
        </w:tc>
      </w:tr>
      <w:tr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G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 resolvers (incl. the heavy ones) + the domain parity harness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CAT-2/CAT-5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H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cross-subgraph entity resolution — real </w:t>
            </w:r>
            <w:r>
              <w:rPr>
                <w:rFonts w:ascii="Courier New" w:hAnsi="Courier New"/>
                <w:sz w:val="18"/>
              </w:rPr>
              <w:t>@DgsEntityFetcher</w:t>
            </w:r>
            <w:r>
              <w:rPr>
                <w:color w:val="373737"/>
                <w:sz w:val="18"/>
              </w:rPr>
              <w:t>/</w:t>
            </w:r>
            <w:r>
              <w:rPr>
                <w:rFonts w:ascii="Courier New" w:hAnsi="Courier New"/>
                <w:sz w:val="18"/>
              </w:rPr>
              <w:t>@key</w:t>
            </w:r>
            <w:r>
              <w:rPr>
                <w:color w:val="373737"/>
                <w:sz w:val="18"/>
              </w:rPr>
              <w:t xml:space="preserve"> fields resolved by a </w:t>
            </w:r>
            <w:r>
              <w:rPr>
                <w:i/>
                <w:color w:val="373737"/>
                <w:sz w:val="18"/>
              </w:rPr>
              <w:t>separate</w:t>
            </w:r>
            <w:r>
              <w:rPr>
                <w:color w:val="373737"/>
                <w:sz w:val="18"/>
              </w:rPr>
              <w:t xml:space="preserve"> subgraph (split out from Phase F)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CAT-4</w:t>
            </w:r>
          </w:p>
        </w:tc>
      </w:tr>
    </w:tbl>
    <w:p/>
    <w:p>
      <w:pPr>
        <w:spacing w:after="40"/>
      </w:pPr>
      <w:r>
        <w:rPr>
          <w:b/>
          <w:color w:val="444444"/>
          <w:sz w:val="18"/>
        </w:rPr>
        <w:t>Phase 0 = Spikes</w:t>
      </w:r>
      <w:r>
        <w:rPr>
          <w:color w:val="444444"/>
          <w:sz w:val="18"/>
        </w:rPr>
        <w:t xml:space="preserve"> — time-boxed research producing a recorded decision before the phase it blocks.</w:t>
      </w:r>
    </w:p>
    <w:p>
      <w:pPr>
        <w:spacing w:before="240" w:after="80"/>
      </w:pPr>
      <w:r>
        <w:rPr>
          <w:b/>
          <w:color w:val="1F497D"/>
          <w:sz w:val="28"/>
        </w:rPr>
        <w:t>How to read the spikes &amp; related stories</w:t>
      </w:r>
    </w:p>
    <w:p>
      <w:pPr>
        <w:spacing w:after="40"/>
      </w:pPr>
      <w:r>
        <w:rPr>
          <w:color w:val="444444"/>
          <w:sz w:val="18"/>
        </w:rPr>
        <w:t xml:space="preserve">The </w:t>
      </w:r>
      <w:r>
        <w:rPr>
          <w:rFonts w:ascii="Courier New" w:hAnsi="Courier New"/>
          <w:sz w:val="18"/>
        </w:rPr>
        <w:t>SPIKE-0x</w:t>
      </w:r>
      <w:r>
        <w:rPr>
          <w:color w:val="444444"/>
          <w:sz w:val="18"/>
        </w:rPr>
        <w:t xml:space="preserve"> id is the join key between a </w:t>
      </w:r>
      <w:r>
        <w:rPr>
          <w:b/>
          <w:color w:val="444444"/>
          <w:sz w:val="18"/>
        </w:rPr>
        <w:t>program spike</w:t>
      </w:r>
      <w:r>
        <w:rPr>
          <w:color w:val="444444"/>
          <w:sz w:val="18"/>
        </w:rPr>
        <w:t xml:space="preserve"> (here) and the </w:t>
      </w:r>
      <w:r>
        <w:rPr>
          <w:b/>
          <w:color w:val="444444"/>
          <w:sz w:val="18"/>
        </w:rPr>
        <w:t>domain stories</w:t>
      </w:r>
      <w:r>
        <w:rPr>
          <w:color w:val="444444"/>
          <w:sz w:val="18"/>
        </w:rPr>
        <w:t xml:space="preserve"> it gates. Read </w:t>
      </w:r>
      <w:r>
        <w:rPr>
          <w:b/>
          <w:color w:val="444444"/>
          <w:sz w:val="18"/>
        </w:rPr>
        <w:t>global → domain</w:t>
      </w:r>
      <w:r>
        <w:rPr>
          <w:color w:val="444444"/>
          <w:sz w:val="18"/>
        </w:rPr>
        <w:t xml:space="preserve"> to plan decisions, or </w:t>
      </w:r>
      <w:r>
        <w:rPr>
          <w:b/>
          <w:color w:val="444444"/>
          <w:sz w:val="18"/>
        </w:rPr>
        <w:t>domain → global</w:t>
      </w:r>
      <w:r>
        <w:rPr>
          <w:color w:val="444444"/>
          <w:sz w:val="18"/>
        </w:rPr>
        <w:t xml:space="preserve"> to implement.</w:t>
      </w:r>
    </w:p>
    <w:p>
      <w:pPr>
        <w:spacing w:after="60"/>
      </w:pPr>
      <w:r>
        <w:rPr>
          <w:b/>
          <w:color w:val="373737"/>
          <w:sz w:val="19"/>
        </w:rPr>
        <w:t>👔 Product Owner:</w:t>
      </w:r>
    </w:p>
    <w:p>
      <w:pPr>
        <w:spacing w:after="60"/>
      </w:pPr>
      <w:r>
        <w:rPr>
          <w:color w:val="373737"/>
          <w:sz w:val="19"/>
        </w:rPr>
        <w:t xml:space="preserve">1. </w:t>
      </w:r>
      <w:r>
        <w:rPr>
          <w:b/>
          <w:color w:val="373737"/>
          <w:sz w:val="19"/>
        </w:rPr>
        <w:t>Phase 0 — Program Spikes table</w:t>
      </w:r>
      <w:r>
        <w:rPr>
          <w:color w:val="373737"/>
          <w:sz w:val="19"/>
        </w:rPr>
        <w:t xml:space="preserve"> — what each spike blocks and its status. Nothing dependent starts until the spike's decision is recorded.</w:t>
      </w:r>
    </w:p>
    <w:p>
      <w:pPr>
        <w:spacing w:after="60"/>
      </w:pPr>
      <w:r>
        <w:rPr>
          <w:color w:val="373737"/>
          <w:sz w:val="19"/>
        </w:rPr>
        <w:t xml:space="preserve">2. </w:t>
      </w:r>
      <w:r>
        <w:rPr>
          <w:b/>
          <w:color w:val="373737"/>
          <w:sz w:val="19"/>
        </w:rPr>
        <w:t>Spike Detail</w:t>
      </w:r>
      <w:r>
        <w:rPr>
          <w:color w:val="373737"/>
          <w:sz w:val="19"/>
        </w:rPr>
        <w:t xml:space="preserve"> (per bucket) — the brief, the </w:t>
      </w:r>
      <w:r>
        <w:rPr>
          <w:b/>
          <w:color w:val="373737"/>
          <w:sz w:val="19"/>
        </w:rPr>
        <w:t>Decision to make</w:t>
      </w:r>
      <w:r>
        <w:rPr>
          <w:color w:val="373737"/>
          <w:sz w:val="19"/>
        </w:rPr>
        <w:t xml:space="preserve">, the </w:t>
      </w:r>
      <w:r>
        <w:rPr>
          <w:b/>
          <w:color w:val="373737"/>
          <w:sz w:val="19"/>
        </w:rPr>
        <w:t>intended steps</w:t>
      </w:r>
      <w:r>
        <w:rPr>
          <w:color w:val="373737"/>
          <w:sz w:val="19"/>
        </w:rPr>
        <w:t>, and the resolver table (blast radius).</w:t>
      </w:r>
    </w:p>
    <w:p>
      <w:pPr>
        <w:spacing w:after="60"/>
      </w:pPr>
      <w:r>
        <w:rPr>
          <w:color w:val="373737"/>
          <w:sz w:val="19"/>
        </w:rPr>
        <w:t xml:space="preserve">3. </w:t>
      </w:r>
      <w:r>
        <w:rPr>
          <w:b/>
          <w:color w:val="373737"/>
          <w:sz w:val="19"/>
        </w:rPr>
        <w:t>Sequencing</w:t>
      </w:r>
      <w:r>
        <w:rPr>
          <w:color w:val="373737"/>
          <w:sz w:val="19"/>
        </w:rPr>
        <w:t xml:space="preserve"> — </w:t>
      </w:r>
      <w:r>
        <w:rPr>
          <w:rFonts w:ascii="Courier New" w:hAnsi="Courier New"/>
          <w:sz w:val="19"/>
        </w:rPr>
        <w:t>SPIKE-01/02/03</w:t>
      </w:r>
      <w:r>
        <w:rPr>
          <w:color w:val="373737"/>
          <w:sz w:val="19"/>
        </w:rPr>
        <w:t xml:space="preserve"> are critical path (Sprint 0); </w:t>
      </w:r>
      <w:r>
        <w:rPr>
          <w:rFonts w:ascii="Courier New" w:hAnsi="Courier New"/>
          <w:sz w:val="19"/>
        </w:rPr>
        <w:t>04/05/06a/06b</w:t>
      </w:r>
      <w:r>
        <w:rPr>
          <w:color w:val="373737"/>
          <w:sz w:val="19"/>
        </w:rPr>
        <w:t xml:space="preserve"> run in parallel. Assign an owner + timebox each.</w:t>
      </w:r>
    </w:p>
    <w:p>
      <w:pPr>
        <w:spacing w:after="60"/>
      </w:pPr>
      <w:r>
        <w:rPr>
          <w:color w:val="373737"/>
          <w:sz w:val="19"/>
        </w:rPr>
        <w:t xml:space="preserve">4. In a </w:t>
      </w:r>
      <w:r>
        <w:rPr>
          <w:b/>
          <w:color w:val="373737"/>
          <w:sz w:val="19"/>
        </w:rPr>
        <w:t>domain page</w:t>
      </w:r>
      <w:r>
        <w:rPr>
          <w:color w:val="373737"/>
          <w:sz w:val="19"/>
        </w:rPr>
        <w:t xml:space="preserve">, the </w:t>
      </w:r>
      <w:r>
        <w:rPr>
          <w:i/>
          <w:color w:val="373737"/>
          <w:sz w:val="19"/>
        </w:rPr>
        <w:t>Spikes &amp; Complex Cases</w:t>
      </w:r>
      <w:r>
        <w:rPr>
          <w:color w:val="373737"/>
          <w:sz w:val="19"/>
        </w:rPr>
        <w:t xml:space="preserve"> map lists which of that domain's stories are 🔴🔬-blocked — plan the domain around them.</w:t>
      </w:r>
    </w:p>
    <w:p>
      <w:pPr>
        <w:spacing w:after="60"/>
      </w:pPr>
      <w:r>
        <w:rPr>
          <w:b/>
          <w:color w:val="373737"/>
          <w:sz w:val="19"/>
        </w:rPr>
        <w:t>🔧 Engineer:</w:t>
      </w:r>
    </w:p>
    <w:p>
      <w:pPr>
        <w:spacing w:after="60"/>
      </w:pPr>
      <w:r>
        <w:rPr>
          <w:color w:val="373737"/>
          <w:sz w:val="19"/>
        </w:rPr>
        <w:t xml:space="preserve">1. In the </w:t>
      </w:r>
      <w:r>
        <w:rPr>
          <w:b/>
          <w:color w:val="373737"/>
          <w:sz w:val="19"/>
        </w:rPr>
        <w:t>domain A–H table</w:t>
      </w:r>
      <w:r>
        <w:rPr>
          <w:color w:val="373737"/>
          <w:sz w:val="19"/>
        </w:rPr>
        <w:t xml:space="preserve">, find your story. If it's </w:t>
      </w:r>
      <w:r>
        <w:rPr>
          <w:b/>
          <w:color w:val="373737"/>
          <w:sz w:val="19"/>
        </w:rPr>
        <w:t>🔴🔬 with `SPIKE-0x` in Depends On</w:t>
      </w:r>
      <w:r>
        <w:rPr>
          <w:color w:val="373737"/>
          <w:sz w:val="19"/>
        </w:rPr>
        <w:t>, the complex part is blocked until that spike concludes — check its status first.</w:t>
      </w:r>
    </w:p>
    <w:p>
      <w:pPr>
        <w:spacing w:after="60"/>
      </w:pPr>
      <w:r>
        <w:rPr>
          <w:color w:val="373737"/>
          <w:sz w:val="19"/>
        </w:rPr>
        <w:t xml:space="preserve">2. </w:t>
      </w:r>
      <w:r>
        <w:rPr>
          <w:b/>
          <w:color w:val="373737"/>
          <w:sz w:val="19"/>
        </w:rPr>
        <w:t>Follow the `SPIKE-0x` id → Spike Detail</w:t>
      </w:r>
      <w:r>
        <w:rPr>
          <w:color w:val="373737"/>
          <w:sz w:val="19"/>
        </w:rPr>
        <w:t xml:space="preserve">: the </w:t>
      </w:r>
      <w:r>
        <w:rPr>
          <w:b/>
          <w:color w:val="373737"/>
          <w:sz w:val="19"/>
        </w:rPr>
        <w:t>intended cross-domain steps</w:t>
      </w:r>
      <w:r>
        <w:rPr>
          <w:color w:val="373737"/>
          <w:sz w:val="19"/>
        </w:rPr>
        <w:t xml:space="preserve"> (your target flow) + the resolver table (external services you'll call + what each resolver does today = your parity target).</w:t>
      </w:r>
    </w:p>
    <w:p>
      <w:pPr>
        <w:spacing w:after="60"/>
      </w:pPr>
      <w:r>
        <w:rPr>
          <w:color w:val="373737"/>
          <w:sz w:val="19"/>
        </w:rPr>
        <w:t xml:space="preserve">3. </w:t>
      </w:r>
      <w:r>
        <w:rPr>
          <w:b/>
          <w:color w:val="373737"/>
          <w:sz w:val="19"/>
        </w:rPr>
        <w:t>Research so far</w:t>
      </w:r>
      <w:r>
        <w:rPr>
          <w:color w:val="373737"/>
          <w:sz w:val="19"/>
        </w:rPr>
        <w:t xml:space="preserve"> — the </w:t>
      </w:r>
      <w:r>
        <w:rPr>
          <w:b/>
          <w:color w:val="373737"/>
          <w:sz w:val="19"/>
        </w:rPr>
        <w:t>Phase 0 — Program Spikes</w:t>
      </w:r>
      <w:r>
        <w:rPr>
          <w:color w:val="373737"/>
          <w:sz w:val="19"/>
        </w:rPr>
        <w:t xml:space="preserve"> table links each spike to its </w:t>
      </w:r>
      <w:r>
        <w:rPr>
          <w:rFonts w:ascii="Courier New" w:hAnsi="Courier New"/>
          <w:sz w:val="19"/>
        </w:rPr>
        <w:t>complexStories/&lt;case&gt;/</w:t>
      </w:r>
      <w:r>
        <w:rPr>
          <w:color w:val="373737"/>
          <w:sz w:val="19"/>
        </w:rPr>
        <w:t xml:space="preserve"> brief.</w:t>
      </w:r>
    </w:p>
    <w:p>
      <w:pPr>
        <w:spacing w:after="60"/>
      </w:pPr>
      <w:r>
        <w:rPr>
          <w:color w:val="373737"/>
          <w:sz w:val="19"/>
        </w:rPr>
        <w:t xml:space="preserve">4. </w:t>
      </w:r>
      <w:r>
        <w:rPr>
          <w:b/>
          <w:color w:val="373737"/>
          <w:sz w:val="19"/>
        </w:rPr>
        <w:t>Non-gated stories</w:t>
      </w:r>
      <w:r>
        <w:rPr>
          <w:color w:val="373737"/>
          <w:sz w:val="19"/>
        </w:rPr>
        <w:t xml:space="preserve"> (no 🔴🔬) — build straight from the story's Acceptance Criteria; no spike needed.</w:t>
      </w:r>
    </w:p>
    <w:p>
      <w:pPr>
        <w:spacing w:after="60"/>
      </w:pPr>
      <w:r>
        <w:rPr>
          <w:color w:val="373737"/>
          <w:sz w:val="19"/>
        </w:rPr>
        <w:t xml:space="preserve">5. </w:t>
      </w:r>
      <w:r>
        <w:rPr>
          <w:b/>
          <w:color w:val="373737"/>
          <w:sz w:val="19"/>
        </w:rPr>
        <w:t>In Jira/CSV</w:t>
      </w:r>
      <w:r>
        <w:rPr>
          <w:color w:val="373737"/>
          <w:sz w:val="19"/>
        </w:rPr>
        <w:t xml:space="preserve"> — the spike is a </w:t>
      </w:r>
      <w:r>
        <w:rPr>
          <w:rFonts w:ascii="Courier New" w:hAnsi="Courier New"/>
          <w:sz w:val="19"/>
        </w:rPr>
        <w:t>Spike</w:t>
      </w:r>
      <w:r>
        <w:rPr>
          <w:color w:val="373737"/>
          <w:sz w:val="19"/>
        </w:rPr>
        <w:t xml:space="preserve"> issue (</w:t>
      </w:r>
      <w:r>
        <w:rPr>
          <w:rFonts w:ascii="Courier New" w:hAnsi="Courier New"/>
          <w:sz w:val="19"/>
        </w:rPr>
        <w:t>SPIKE-0x</w:t>
      </w:r>
      <w:r>
        <w:rPr>
          <w:color w:val="373737"/>
          <w:sz w:val="19"/>
        </w:rPr>
        <w:t xml:space="preserve">) with the brief + steps in its description; your gated story lists it in </w:t>
      </w:r>
      <w:r>
        <w:rPr>
          <w:b/>
          <w:color w:val="373737"/>
          <w:sz w:val="19"/>
        </w:rPr>
        <w:t>Depends On</w:t>
      </w:r>
      <w:r>
        <w:rPr>
          <w:color w:val="373737"/>
          <w:sz w:val="19"/>
        </w:rPr>
        <w:t>.</w:t>
      </w:r>
    </w:p>
    <w:p>
      <w:pPr>
        <w:spacing w:after="40"/>
      </w:pPr>
      <w:r>
        <w:rPr>
          <w:b/>
          <w:color w:val="444444"/>
          <w:sz w:val="18"/>
        </w:rPr>
        <w:t>One-line model —</w:t>
      </w:r>
      <w:r>
        <w:rPr>
          <w:color w:val="444444"/>
          <w:sz w:val="18"/>
        </w:rPr>
        <w:t xml:space="preserve"> </w:t>
      </w:r>
      <w:r>
        <w:rPr>
          <w:i/>
          <w:color w:val="444444"/>
          <w:sz w:val="18"/>
        </w:rPr>
        <w:t>Product Owner:</w:t>
      </w:r>
      <w:r>
        <w:rPr>
          <w:color w:val="444444"/>
          <w:sz w:val="18"/>
        </w:rPr>
        <w:t xml:space="preserve"> "which decisions block work, who owns them, when?" → the spike table. </w:t>
      </w:r>
      <w:r>
        <w:rPr>
          <w:i/>
          <w:color w:val="444444"/>
          <w:sz w:val="18"/>
        </w:rPr>
        <w:t>Engineer:</w:t>
      </w:r>
      <w:r>
        <w:rPr>
          <w:color w:val="444444"/>
          <w:sz w:val="18"/>
        </w:rPr>
        <w:t xml:space="preserve"> "is my story blocked, and once unblocked what's the flow + who do I call?" → follow the id to Spike Detail.</w:t>
      </w:r>
    </w:p>
    <w:p>
      <w:pPr>
        <w:spacing w:before="240" w:after="80"/>
      </w:pPr>
      <w:r>
        <w:rPr>
          <w:b/>
          <w:color w:val="1F497D"/>
          <w:sz w:val="28"/>
        </w:rPr>
        <w:t>🔬 Phase 0 — Program Spikes (cross-domain research buckets)</w:t>
      </w:r>
    </w:p>
    <w:p>
      <w:pPr>
        <w:spacing w:after="40"/>
      </w:pPr>
      <w:r>
        <w:rPr>
          <w:b/>
          <w:color w:val="444444"/>
          <w:sz w:val="18"/>
        </w:rPr>
        <w:t>Why this table lives here and not in the domain pages.</w:t>
      </w:r>
      <w:r>
        <w:rPr>
          <w:color w:val="444444"/>
          <w:sz w:val="18"/>
        </w:rPr>
        <w:t xml:space="preserve"> The same handful of hard problems recur across many domains under different operation names (e.g. every domain's multi-step </w:t>
      </w:r>
      <w:r>
        <w:rPr>
          <w:rFonts w:ascii="Courier New" w:hAnsi="Courier New"/>
          <w:sz w:val="18"/>
        </w:rPr>
        <w:t>update*</w:t>
      </w:r>
      <w:r>
        <w:rPr>
          <w:color w:val="444444"/>
          <w:sz w:val="18"/>
        </w:rPr>
        <w:t xml:space="preserve"> write hits the </w:t>
      </w:r>
      <w:r>
        <w:rPr>
          <w:i/>
          <w:color w:val="444444"/>
          <w:sz w:val="18"/>
        </w:rPr>
        <w:t>same</w:t>
      </w:r>
      <w:r>
        <w:rPr>
          <w:color w:val="444444"/>
          <w:sz w:val="18"/>
        </w:rPr>
        <w:t xml:space="preserve"> "no rollback" question). Rather than repeat a decision list on every domain page, each recurring problem is </w:t>
      </w:r>
      <w:r>
        <w:rPr>
          <w:b/>
          <w:color w:val="444444"/>
          <w:sz w:val="18"/>
        </w:rPr>
        <w:t>generalized into one program spike bucket</w:t>
      </w:r>
      <w:r>
        <w:rPr>
          <w:color w:val="444444"/>
          <w:sz w:val="18"/>
        </w:rPr>
        <w:t xml:space="preserve"> below. A spike is </w:t>
      </w:r>
      <w:r>
        <w:rPr>
          <w:b/>
          <w:color w:val="444444"/>
          <w:sz w:val="18"/>
        </w:rPr>
        <w:t>time-boxed research that produces a recorded decision</w:t>
      </w:r>
      <w:r>
        <w:rPr>
          <w:color w:val="444444"/>
          <w:sz w:val="18"/>
        </w:rPr>
        <w:t xml:space="preserve"> — not shipped code — and every domain story gated on one is marked </w:t>
      </w:r>
      <w:r>
        <w:rPr>
          <w:b/>
          <w:color w:val="444444"/>
          <w:sz w:val="18"/>
        </w:rPr>
        <w:t>🔴🔬 in its domain page</w:t>
      </w:r>
      <w:r>
        <w:rPr>
          <w:color w:val="444444"/>
          <w:sz w:val="18"/>
        </w:rPr>
        <w:t xml:space="preserve"> with the spike id in </w:t>
      </w:r>
      <w:r>
        <w:rPr>
          <w:rFonts w:ascii="Courier New" w:hAnsi="Courier New"/>
          <w:sz w:val="18"/>
        </w:rPr>
        <w:t>Depends On</w:t>
      </w:r>
      <w:r>
        <w:rPr>
          <w:color w:val="444444"/>
          <w:sz w:val="18"/>
        </w:rPr>
        <w:t>.</w:t>
      </w:r>
    </w:p>
    <w:p>
      <w:pPr>
        <w:spacing w:after="40"/>
      </w:pPr>
      <w:r>
        <w:rPr>
          <w:color w:val="444444"/>
          <w:sz w:val="18"/>
        </w:rPr>
        <w:t xml:space="preserve">🔬 </w:t>
      </w:r>
      <w:r>
        <w:rPr>
          <w:b/>
          <w:color w:val="444444"/>
          <w:sz w:val="18"/>
        </w:rPr>
        <w:t>A spike is only for a genuinely complex problem that needs a solve/migrate approach.</w:t>
      </w:r>
      <w:r>
        <w:rPr>
          <w:color w:val="444444"/>
          <w:sz w:val="18"/>
        </w:rPr>
        <w:t xml:space="preserve"> Simple, intuitive, one-off decisions (delete-vs-</w:t>
      </w:r>
      <w:r>
        <w:rPr>
          <w:rFonts w:ascii="Courier New" w:hAnsi="Courier New"/>
          <w:sz w:val="18"/>
        </w:rPr>
        <w:t>@deprecate</w:t>
      </w:r>
      <w:r>
        <w:rPr>
          <w:color w:val="444444"/>
          <w:sz w:val="18"/>
        </w:rPr>
        <w:t xml:space="preserve"> drift ops, dead service-method audits, auth-token parity, sort pushdown, DTO request-shape) are </w:t>
      </w:r>
      <w:r>
        <w:rPr>
          <w:b/>
          <w:color w:val="444444"/>
          <w:sz w:val="18"/>
        </w:rPr>
        <w:t>not</w:t>
      </w:r>
      <w:r>
        <w:rPr>
          <w:color w:val="444444"/>
          <w:sz w:val="18"/>
        </w:rPr>
        <w:t xml:space="preserve"> spikes — they are resolved inline in the owning story's acceptance criteria and no longer appear anywhere as a decision table.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rHeight w:val="360" w:hRule="atLeast"/>
        </w:trPr>
        <w:tc>
          <w:tcPr>
            <w:tcW w:type="dxa" w:w="170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Spike ID</w:t>
            </w:r>
          </w:p>
        </w:tc>
        <w:tc>
          <w:tcPr>
            <w:tcW w:type="dxa" w:w="170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Bucket / Generic Problem</w:t>
            </w:r>
          </w:p>
        </w:tc>
        <w:tc>
          <w:tcPr>
            <w:tcW w:type="dxa" w:w="170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Domains affected (home story)</w:t>
            </w:r>
          </w:p>
        </w:tc>
        <w:tc>
          <w:tcPr>
            <w:tcW w:type="dxa" w:w="170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Blocks</w:t>
            </w:r>
          </w:p>
        </w:tc>
        <w:tc>
          <w:tcPr>
            <w:tcW w:type="dxa" w:w="170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Research so far</w:t>
            </w:r>
          </w:p>
        </w:tc>
        <w:tc>
          <w:tcPr>
            <w:tcW w:type="dxa" w:w="170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Status</w:t>
            </w:r>
          </w:p>
        </w:tc>
      </w:tr>
      <w:tr>
        <w:tc>
          <w:tcPr>
            <w:tcW w:type="dxa" w:w="1709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SPIKE-01</w:t>
            </w:r>
          </w:p>
        </w:tc>
        <w:tc>
          <w:tcPr>
            <w:tcW w:type="dxa" w:w="170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🔬 </w:t>
            </w:r>
            <w:r>
              <w:rPr>
                <w:b/>
                <w:color w:val="373737"/>
                <w:sz w:val="18"/>
              </w:rPr>
              <w:t>Non-Atomic Write Saga</w:t>
            </w:r>
            <w:r>
              <w:rPr>
                <w:color w:val="373737"/>
                <w:sz w:val="18"/>
              </w:rPr>
              <w:t xml:space="preserve"> — a mutation fans out across ≥2 REST services (workspace-assoc · body · permissions · component-status) with no transaction; on partial failure state is left inconsistent. Choose the failure strategy: (a) compensating saga · (b) compensation-log + best-effort · (c) best-effort.</w:t>
            </w:r>
          </w:p>
        </w:tc>
        <w:tc>
          <w:tcPr>
            <w:tcW w:type="dxa" w:w="170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bom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· claims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· measurement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· packaging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· productDetails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· watchlist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· product </w:t>
            </w:r>
            <w:r>
              <w:rPr>
                <w:rFonts w:ascii="Courier New" w:hAnsi="Courier New"/>
                <w:sz w:val="18"/>
              </w:rPr>
              <w:t>E-02</w:t>
            </w:r>
          </w:p>
        </w:tc>
        <w:tc>
          <w:tcPr>
            <w:tcW w:type="dxa" w:w="170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all </w:t>
            </w:r>
            <w:r>
              <w:rPr>
                <w:rFonts w:ascii="Courier New" w:hAnsi="Courier New"/>
                <w:sz w:val="18"/>
              </w:rPr>
              <w:t>E</w:t>
            </w:r>
            <w:r>
              <w:rPr>
                <w:color w:val="373737"/>
                <w:sz w:val="18"/>
              </w:rPr>
              <w:t>-phase writes</w:t>
            </w:r>
          </w:p>
        </w:tc>
        <w:tc>
          <w:tcPr>
            <w:tcW w:type="dxa" w:w="1709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complexStories/non-atomic-write-saga/</w:t>
            </w:r>
            <w:r>
              <w:rPr>
                <w:color w:val="373737"/>
                <w:sz w:val="18"/>
              </w:rPr>
              <w:t xml:space="preserve"> (brief + draft ADR-013 + [story breakdown](../../output/complexStories/non-atomic-write-saga/01-stories.md))</w:t>
            </w:r>
          </w:p>
        </w:tc>
        <w:tc>
          <w:tcPr>
            <w:tcW w:type="dxa" w:w="170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Draft ADR-013 proposed — shared </w:t>
            </w:r>
            <w:r>
              <w:rPr>
                <w:rFonts w:ascii="Courier New" w:hAnsi="Courier New"/>
                <w:sz w:val="18"/>
              </w:rPr>
              <w:t>WriteSaga</w:t>
            </w:r>
            <w:r>
              <w:rPr>
                <w:color w:val="373737"/>
                <w:sz w:val="18"/>
              </w:rPr>
              <w:t xml:space="preserve"> module built (</w:t>
            </w:r>
            <w:r>
              <w:rPr>
                <w:rFonts w:ascii="Courier New" w:hAnsi="Courier New"/>
                <w:sz w:val="18"/>
              </w:rPr>
              <w:t>PRODUCT-BE-E-00</w:t>
            </w:r>
            <w:r>
              <w:rPr>
                <w:color w:val="373737"/>
                <w:sz w:val="18"/>
              </w:rPr>
              <w:t>, Sprint 0); consumers wired — ratification pending</w:t>
            </w:r>
          </w:p>
        </w:tc>
      </w:tr>
      <w:tr>
        <w:tc>
          <w:tcPr>
            <w:tcW w:type="dxa" w:w="1709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SPIKE-02</w:t>
            </w:r>
          </w:p>
        </w:tc>
        <w:tc>
          <w:tcPr>
            <w:tcW w:type="dxa" w:w="170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🔬 </w:t>
            </w:r>
            <w:r>
              <w:rPr>
                <w:b/>
                <w:color w:val="373737"/>
                <w:sz w:val="18"/>
              </w:rPr>
              <w:t>TechPack Aggregate</w:t>
            </w:r>
            <w:r>
              <w:rPr>
                <w:color w:val="373737"/>
                <w:sz w:val="18"/>
              </w:rPr>
              <w:t xml:space="preserve"> — build a </w:t>
            </w:r>
            <w:r>
              <w:rPr>
                <w:rFonts w:ascii="Courier New" w:hAnsi="Courier New"/>
                <w:sz w:val="18"/>
              </w:rPr>
              <w:t>ProductTechPack</w:t>
            </w:r>
            <w:r>
              <w:rPr>
                <w:color w:val="373737"/>
                <w:sz w:val="18"/>
              </w:rPr>
              <w:t xml:space="preserve"> entity where </w:t>
            </w:r>
            <w:r>
              <w:rPr>
                <w:b/>
                <w:color w:val="373737"/>
                <w:sz w:val="18"/>
              </w:rPr>
              <w:t>every field is computed from a different microservice REST API</w:t>
            </w:r>
            <w:r>
              <w:rPr>
                <w:color w:val="373737"/>
                <w:sz w:val="18"/>
              </w:rPr>
              <w:t>; ratify the assembly pattern under federation.</w:t>
            </w:r>
          </w:p>
        </w:tc>
        <w:tc>
          <w:tcPr>
            <w:tcW w:type="dxa" w:w="170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product </w:t>
            </w:r>
            <w:r>
              <w:rPr>
                <w:rFonts w:ascii="Courier New" w:hAnsi="Courier New"/>
                <w:sz w:val="18"/>
              </w:rPr>
              <w:t>E-03</w:t>
            </w:r>
            <w:r>
              <w:rPr>
                <w:color w:val="373737"/>
                <w:sz w:val="18"/>
              </w:rPr>
              <w:t>/</w:t>
            </w:r>
            <w:r>
              <w:rPr>
                <w:rFonts w:ascii="Courier New" w:hAnsi="Courier New"/>
                <w:sz w:val="18"/>
              </w:rPr>
              <w:t>E-04</w:t>
            </w:r>
          </w:p>
        </w:tc>
        <w:tc>
          <w:tcPr>
            <w:tcW w:type="dxa" w:w="170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product techpack</w:t>
            </w:r>
          </w:p>
        </w:tc>
        <w:tc>
          <w:tcPr>
            <w:tcW w:type="dxa" w:w="1709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complexStories/techpack/</w:t>
            </w:r>
            <w:r>
              <w:rPr>
                <w:color w:val="373737"/>
                <w:sz w:val="18"/>
              </w:rPr>
              <w:t xml:space="preserve"> (brief + draft ADR-015 + [story breakdown](../../output/complexStories/techpack/01-stories.md))</w:t>
            </w:r>
          </w:p>
        </w:tc>
        <w:tc>
          <w:tcPr>
            <w:tcW w:type="dxa" w:w="170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🟠 Draft ADR-015 proposed (facade-then-federate, ADR-015 Option B = catalogue "Option D (hybrid)") — full phase 1–3 story chain built (</w:t>
            </w:r>
            <w:r>
              <w:rPr>
                <w:rFonts w:ascii="Courier New" w:hAnsi="Courier New"/>
                <w:sz w:val="18"/>
              </w:rPr>
              <w:t>E-03</w:t>
            </w:r>
            <w:r>
              <w:rPr>
                <w:color w:val="373737"/>
                <w:sz w:val="18"/>
              </w:rPr>
              <w:t>/</w:t>
            </w:r>
            <w:r>
              <w:rPr>
                <w:rFonts w:ascii="Courier New" w:hAnsi="Courier New"/>
                <w:sz w:val="18"/>
              </w:rPr>
              <w:t>E-04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H-01</w:t>
            </w:r>
            <w:r>
              <w:rPr>
                <w:color w:val="373737"/>
                <w:sz w:val="18"/>
              </w:rPr>
              <w:t>–</w:t>
            </w:r>
            <w:r>
              <w:rPr>
                <w:rFonts w:ascii="Courier New" w:hAnsi="Courier New"/>
                <w:sz w:val="18"/>
              </w:rPr>
              <w:t>H-06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F-09</w:t>
            </w:r>
            <w:r>
              <w:rPr>
                <w:color w:val="373737"/>
                <w:sz w:val="18"/>
              </w:rPr>
              <w:t>) — ratification pending</w:t>
            </w:r>
          </w:p>
        </w:tc>
      </w:tr>
      <w:tr>
        <w:tc>
          <w:tcPr>
            <w:tcW w:type="dxa" w:w="1709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SPIKE-03</w:t>
            </w:r>
          </w:p>
        </w:tc>
        <w:tc>
          <w:tcPr>
            <w:tcW w:type="dxa" w:w="170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🔬 </w:t>
            </w:r>
            <w:r>
              <w:rPr>
                <w:b/>
                <w:color w:val="373737"/>
                <w:sz w:val="18"/>
              </w:rPr>
              <w:t>Partner Drop/Undrop + Ownership</w:t>
            </w:r>
            <w:r>
              <w:rPr>
                <w:color w:val="373737"/>
                <w:sz w:val="18"/>
              </w:rPr>
              <w:t xml:space="preserve"> — orchestrated drop/undrop of a business partner across every referencing child domain; decide ownership (domain subgraph vs workspace) and the write saga.</w:t>
            </w:r>
          </w:p>
        </w:tc>
        <w:tc>
          <w:tcPr>
            <w:tcW w:type="dxa" w:w="170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product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· workspace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(later phase)</w:t>
            </w:r>
          </w:p>
        </w:tc>
        <w:tc>
          <w:tcPr>
            <w:tcW w:type="dxa" w:w="170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partner-write </w:t>
            </w:r>
            <w:r>
              <w:rPr>
                <w:rFonts w:ascii="Courier New" w:hAnsi="Courier New"/>
                <w:sz w:val="18"/>
              </w:rPr>
              <w:t>E</w:t>
            </w:r>
            <w:r>
              <w:rPr>
                <w:color w:val="373737"/>
                <w:sz w:val="18"/>
              </w:rPr>
              <w:t>/</w:t>
            </w:r>
            <w:r>
              <w:rPr>
                <w:rFonts w:ascii="Courier New" w:hAnsi="Courier New"/>
                <w:sz w:val="18"/>
              </w:rPr>
              <w:t>F</w:t>
            </w:r>
          </w:p>
        </w:tc>
        <w:tc>
          <w:tcPr>
            <w:tcW w:type="dxa" w:w="1709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complexStories/partner-drop-undrop-write/</w:t>
            </w:r>
            <w:r>
              <w:rPr>
                <w:color w:val="373737"/>
                <w:sz w:val="18"/>
              </w:rPr>
              <w:t xml:space="preserve"> (brief + draft ADR-012 + [story breakdown](../../output/complexStories/partner-drop-undrop-write/01-stories.md))</w:t>
            </w:r>
          </w:p>
        </w:tc>
        <w:tc>
          <w:tcPr>
            <w:tcW w:type="dxa" w:w="170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Draft ADR-012 proposed (owner-orchestrated saga + participant contract, via </w:t>
            </w:r>
            <w:r>
              <w:rPr>
                <w:rFonts w:ascii="Courier New" w:hAnsi="Courier New"/>
                <w:sz w:val="18"/>
              </w:rPr>
              <w:t>PRODUCT-BE-E-00</w:t>
            </w:r>
            <w:r>
              <w:rPr>
                <w:color w:val="373737"/>
                <w:sz w:val="18"/>
              </w:rPr>
              <w:t>) — ratification pending</w:t>
            </w:r>
          </w:p>
        </w:tc>
      </w:tr>
      <w:tr>
        <w:tc>
          <w:tcPr>
            <w:tcW w:type="dxa" w:w="1709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SPIKE-04</w:t>
            </w:r>
          </w:p>
        </w:tc>
        <w:tc>
          <w:tcPr>
            <w:tcW w:type="dxa" w:w="170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🔬 </w:t>
            </w:r>
            <w:r>
              <w:rPr>
                <w:b/>
                <w:color w:val="373737"/>
                <w:sz w:val="18"/>
              </w:rPr>
              <w:t>Not-Removable / Undroppable Partners</w:t>
            </w:r>
            <w:r>
              <w:rPr>
                <w:color w:val="373737"/>
                <w:sz w:val="18"/>
              </w:rPr>
              <w:t xml:space="preserve"> — read aggregation computing which partners cannot be removed/dropped because still referenced (cross-domain </w:t>
            </w:r>
            <w:r>
              <w:rPr>
                <w:rFonts w:ascii="Courier New" w:hAnsi="Courier New"/>
                <w:sz w:val="18"/>
              </w:rPr>
              <w:t>@requires</w:t>
            </w:r>
            <w:r>
              <w:rPr>
                <w:color w:val="373737"/>
                <w:sz w:val="18"/>
              </w:rPr>
              <w:t xml:space="preserve"> union).</w:t>
            </w:r>
          </w:p>
        </w:tc>
        <w:tc>
          <w:tcPr>
            <w:tcW w:type="dxa" w:w="170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product </w:t>
            </w:r>
            <w:r>
              <w:rPr>
                <w:rFonts w:ascii="Courier New" w:hAnsi="Courier New"/>
                <w:sz w:val="18"/>
              </w:rPr>
              <w:t>G-07</w:t>
            </w:r>
            <w:r>
              <w:rPr>
                <w:color w:val="373737"/>
                <w:sz w:val="18"/>
              </w:rPr>
              <w:t xml:space="preserve"> · </w:t>
            </w:r>
            <w:r>
              <w:rPr>
                <w:rFonts w:ascii="Courier New" w:hAnsi="Courier New"/>
                <w:sz w:val="18"/>
              </w:rPr>
              <w:t>G-11-1</w:t>
            </w:r>
            <w:r>
              <w:rPr>
                <w:color w:val="373737"/>
                <w:sz w:val="18"/>
              </w:rPr>
              <w:t xml:space="preserve"> · workspace </w:t>
            </w:r>
            <w:r>
              <w:rPr>
                <w:rFonts w:ascii="Courier New" w:hAnsi="Courier New"/>
                <w:sz w:val="18"/>
              </w:rPr>
              <w:t>G-05</w:t>
            </w:r>
            <w:r>
              <w:rPr>
                <w:color w:val="373737"/>
                <w:sz w:val="18"/>
              </w:rPr>
              <w:t xml:space="preserve"> (later phase)</w:t>
            </w:r>
          </w:p>
        </w:tc>
        <w:tc>
          <w:tcPr>
            <w:tcW w:type="dxa" w:w="170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partner-read fields</w:t>
            </w:r>
          </w:p>
        </w:tc>
        <w:tc>
          <w:tcPr>
            <w:tcW w:type="dxa" w:w="1709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complexStories/notRemovable-undroppable-partners/</w:t>
            </w:r>
            <w:r>
              <w:rPr>
                <w:color w:val="373737"/>
                <w:sz w:val="18"/>
              </w:rPr>
              <w:t xml:space="preserve"> (brief + draft ADR-016 + [story breakdown](../../output/complexStories/notRemovable-undroppable-partners/01-stories.md))</w:t>
            </w:r>
          </w:p>
        </w:tc>
        <w:tc>
          <w:tcPr>
            <w:tcW w:type="dxa" w:w="170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🟠 Draft ADR-016 proposed (owner-</w:t>
            </w:r>
            <w:r>
              <w:rPr>
                <w:rFonts w:ascii="Courier New" w:hAnsi="Courier New"/>
                <w:sz w:val="18"/>
              </w:rPr>
              <w:t>@requires</w:t>
            </w:r>
            <w:r>
              <w:rPr>
                <w:color w:val="373737"/>
                <w:sz w:val="18"/>
              </w:rPr>
              <w:t xml:space="preserve"> lane aggregation) — ratification pending</w:t>
            </w:r>
          </w:p>
        </w:tc>
      </w:tr>
      <w:tr>
        <w:tc>
          <w:tcPr>
            <w:tcW w:type="dxa" w:w="1709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SPIKE-05</w:t>
            </w:r>
          </w:p>
        </w:tc>
        <w:tc>
          <w:tcPr>
            <w:tcW w:type="dxa" w:w="170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🔬 </w:t>
            </w:r>
            <w:r>
              <w:rPr>
                <w:b/>
                <w:color w:val="373737"/>
                <w:sz w:val="18"/>
              </w:rPr>
              <w:t>Polymorphic Type Resolution</w:t>
            </w:r>
            <w:r>
              <w:rPr>
                <w:color w:val="373737"/>
                <w:sz w:val="18"/>
              </w:rPr>
              <w:t xml:space="preserve"> — interfaces/unions resolved by a category dispatcher; confirm the full </w:t>
            </w:r>
            <w:r>
              <w:rPr>
                <w:rFonts w:ascii="Courier New" w:hAnsi="Courier New"/>
                <w:sz w:val="18"/>
              </w:rPr>
              <w:t>code → type</w:t>
            </w:r>
            <w:r>
              <w:rPr>
                <w:color w:val="373737"/>
                <w:sz w:val="18"/>
              </w:rPr>
              <w:t xml:space="preserve"> table + union membership, then </w:t>
            </w:r>
            <w:r>
              <w:rPr>
                <w:rFonts w:ascii="Courier New" w:hAnsi="Courier New"/>
                <w:sz w:val="18"/>
              </w:rPr>
              <w:t>@DgsTypeResolver</w:t>
            </w:r>
            <w:r>
              <w:rPr>
                <w:color w:val="373737"/>
                <w:sz w:val="18"/>
              </w:rPr>
              <w:t xml:space="preserve"> + per-variant + CI schema-conformance.</w:t>
            </w:r>
          </w:p>
        </w:tc>
        <w:tc>
          <w:tcPr>
            <w:tcW w:type="dxa" w:w="170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bom </w:t>
            </w:r>
            <w:r>
              <w:rPr>
                <w:rFonts w:ascii="Courier New" w:hAnsi="Courier New"/>
                <w:sz w:val="18"/>
              </w:rPr>
              <w:t>A-04</w:t>
            </w:r>
            <w:r>
              <w:rPr>
                <w:color w:val="373737"/>
                <w:sz w:val="18"/>
              </w:rPr>
              <w:t>/</w:t>
            </w:r>
            <w:r>
              <w:rPr>
                <w:rFonts w:ascii="Courier New" w:hAnsi="Courier New"/>
                <w:sz w:val="18"/>
              </w:rPr>
              <w:t>G-08</w:t>
            </w:r>
            <w:r>
              <w:rPr>
                <w:color w:val="373737"/>
                <w:sz w:val="18"/>
              </w:rPr>
              <w:t xml:space="preserve"> (+ sample </w:t>
            </w:r>
            <w:r>
              <w:rPr>
                <w:rFonts w:ascii="Courier New" w:hAnsi="Courier New"/>
                <w:sz w:val="18"/>
              </w:rPr>
              <w:t>A-04</w:t>
            </w:r>
            <w:r>
              <w:rPr>
                <w:color w:val="373737"/>
                <w:sz w:val="18"/>
              </w:rPr>
              <w:t>/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, search </w:t>
            </w: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>/</w:t>
            </w:r>
            <w:r>
              <w:rPr>
                <w:rFonts w:ascii="Courier New" w:hAnsi="Courier New"/>
                <w:sz w:val="18"/>
              </w:rPr>
              <w:t>C-02</w:t>
            </w:r>
            <w:r>
              <w:rPr>
                <w:color w:val="373737"/>
                <w:sz w:val="18"/>
              </w:rPr>
              <w:t xml:space="preserve"> — later phase)</w:t>
            </w:r>
          </w:p>
        </w:tc>
        <w:tc>
          <w:tcPr>
            <w:tcW w:type="dxa" w:w="170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type-resolver + variant fields</w:t>
            </w:r>
          </w:p>
        </w:tc>
        <w:tc>
          <w:tcPr>
            <w:tcW w:type="dxa" w:w="1709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complexStories/polymorphic-type-resolution/</w:t>
            </w:r>
            <w:r>
              <w:rPr>
                <w:color w:val="373737"/>
                <w:sz w:val="18"/>
              </w:rPr>
              <w:t xml:space="preserve"> (brief + draft ADR-017 + [story breakdown](../../output/complexStories/polymorphic-type-resolution/01-stories.md))</w:t>
            </w:r>
          </w:p>
        </w:tc>
        <w:tc>
          <w:tcPr>
            <w:tcW w:type="dxa" w:w="170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Draft ADR-017 proposed (per-site ports + CI conformance gate, </w:t>
            </w:r>
            <w:r>
              <w:rPr>
                <w:rFonts w:ascii="Courier New" w:hAnsi="Courier New"/>
                <w:sz w:val="18"/>
              </w:rPr>
              <w:t>BOM-BE-A-05</w:t>
            </w:r>
            <w:r>
              <w:rPr>
                <w:color w:val="373737"/>
                <w:sz w:val="18"/>
              </w:rPr>
              <w:t xml:space="preserve"> built) — code→type table to confirm at ratification</w:t>
            </w:r>
          </w:p>
        </w:tc>
      </w:tr>
      <w:tr>
        <w:tc>
          <w:tcPr>
            <w:tcW w:type="dxa" w:w="1709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SPIKE-06a</w:t>
            </w:r>
          </w:p>
        </w:tc>
        <w:tc>
          <w:tcPr>
            <w:tcW w:type="dxa" w:w="170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🔬 </w:t>
            </w:r>
            <w:r>
              <w:rPr>
                <w:b/>
                <w:color w:val="373737"/>
                <w:sz w:val="18"/>
              </w:rPr>
              <w:t>Hydration</w:t>
            </w:r>
            <w:r>
              <w:rPr>
                <w:color w:val="373737"/>
                <w:sz w:val="18"/>
              </w:rPr>
              <w:t xml:space="preserve"> — how a domain </w:t>
            </w:r>
            <w:r>
              <w:rPr>
                <w:i/>
                <w:color w:val="373737"/>
                <w:sz w:val="18"/>
              </w:rPr>
              <w:t>reads</w:t>
            </w:r>
            <w:r>
              <w:rPr>
                <w:color w:val="373737"/>
                <w:sz w:val="18"/>
              </w:rPr>
              <w:t xml:space="preserve"> another's entity (federated </w:t>
            </w:r>
            <w:r>
              <w:rPr>
                <w:rFonts w:ascii="Courier New" w:hAnsi="Courier New"/>
                <w:sz w:val="18"/>
              </w:rPr>
              <w:t>@key</w:t>
            </w:r>
            <w:r>
              <w:rPr>
                <w:color w:val="373737"/>
                <w:sz w:val="18"/>
              </w:rPr>
              <w:t xml:space="preserve"> ref vs REST client); two-stage hydration; federation/read-hub rollout ordering across sibling DGS.</w:t>
            </w:r>
          </w:p>
        </w:tc>
        <w:tc>
          <w:tcPr>
            <w:tcW w:type="dxa" w:w="170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product </w:t>
            </w:r>
            <w:r>
              <w:rPr>
                <w:rFonts w:ascii="Courier New" w:hAnsi="Courier New"/>
                <w:sz w:val="18"/>
              </w:rPr>
              <w:t>S-02</w:t>
            </w:r>
            <w:r>
              <w:rPr>
                <w:color w:val="373737"/>
                <w:sz w:val="18"/>
              </w:rPr>
              <w:t xml:space="preserve"> (gates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) · bom </w:t>
            </w:r>
            <w:r>
              <w:rPr>
                <w:rFonts w:ascii="Courier New" w:hAnsi="Courier New"/>
                <w:sz w:val="18"/>
              </w:rPr>
              <w:t>B-05</w:t>
            </w:r>
          </w:p>
        </w:tc>
        <w:tc>
          <w:tcPr>
            <w:tcW w:type="dxa" w:w="170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hydration + rollout (reads)</w:t>
            </w:r>
          </w:p>
        </w:tc>
        <w:tc>
          <w:tcPr>
            <w:tcW w:type="dxa" w:w="1709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complexStories/cross-domain-association/</w:t>
            </w:r>
          </w:p>
        </w:tc>
        <w:tc>
          <w:tcPr>
            <w:tcW w:type="dxa" w:w="170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Open — per-edge rule to decide (concludes via </w:t>
            </w:r>
            <w:r>
              <w:rPr>
                <w:rFonts w:ascii="Courier New" w:hAnsi="Courier New"/>
                <w:sz w:val="18"/>
              </w:rPr>
              <w:t>PRODUCT-BE-S-02</w:t>
            </w:r>
            <w:r>
              <w:rPr>
                <w:color w:val="373737"/>
                <w:sz w:val="18"/>
              </w:rPr>
              <w:t>, no draft ADR of its own — distinct from 06b/ADR-011 below)</w:t>
            </w:r>
          </w:p>
        </w:tc>
      </w:tr>
      <w:tr>
        <w:tc>
          <w:tcPr>
            <w:tcW w:type="dxa" w:w="1709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SPIKE-06b</w:t>
            </w:r>
          </w:p>
        </w:tc>
        <w:tc>
          <w:tcPr>
            <w:tcW w:type="dxa" w:w="170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🔬 </w:t>
            </w:r>
            <w:r>
              <w:rPr>
                <w:b/>
                <w:color w:val="373737"/>
                <w:sz w:val="18"/>
              </w:rPr>
              <w:t>Cross-Domain Association</w:t>
            </w:r>
            <w:r>
              <w:rPr>
                <w:color w:val="373737"/>
                <w:sz w:val="18"/>
              </w:rPr>
              <w:t xml:space="preserve"> — one pattern for a mutation that also </w:t>
            </w:r>
            <w:r>
              <w:rPr>
                <w:i/>
                <w:color w:val="373737"/>
                <w:sz w:val="18"/>
              </w:rPr>
              <w:t>links</w:t>
            </w:r>
            <w:r>
              <w:rPr>
                <w:color w:val="373737"/>
                <w:sz w:val="18"/>
              </w:rPr>
              <w:t xml:space="preserve"> its record into a sibling domain (workspace/attachment), incl. sync-vs-async and partial-failure handling. </w:t>
            </w:r>
            <w:r>
              <w:rPr>
                <w:rFonts w:ascii="Courier New" w:hAnsi="Courier New"/>
                <w:sz w:val="18"/>
              </w:rPr>
              <w:t>D-03</w:t>
            </w:r>
            <w:r>
              <w:rPr>
                <w:color w:val="373737"/>
                <w:sz w:val="18"/>
              </w:rPr>
              <w:t xml:space="preserve"> is a pure passthrough (no cross-domain call); </w:t>
            </w:r>
            <w:r>
              <w:rPr>
                <w:rFonts w:ascii="Courier New" w:hAnsi="Courier New"/>
                <w:sz w:val="18"/>
              </w:rPr>
              <w:t>D-06</w:t>
            </w:r>
            <w:r>
              <w:rPr>
                <w:color w:val="373737"/>
                <w:sz w:val="18"/>
              </w:rPr>
              <w:t>/</w:t>
            </w:r>
            <w:r>
              <w:rPr>
                <w:rFonts w:ascii="Courier New" w:hAnsi="Courier New"/>
                <w:sz w:val="18"/>
              </w:rPr>
              <w:t>D-07</w:t>
            </w:r>
            <w:r>
              <w:rPr>
                <w:color w:val="373737"/>
                <w:sz w:val="18"/>
              </w:rPr>
              <w:t>/</w:t>
            </w:r>
            <w:r>
              <w:rPr>
                <w:rFonts w:ascii="Courier New" w:hAnsi="Courier New"/>
                <w:sz w:val="18"/>
              </w:rPr>
              <w:t>D-11</w:t>
            </w:r>
            <w:r>
              <w:rPr>
                <w:color w:val="373737"/>
                <w:sz w:val="18"/>
              </w:rPr>
              <w:t xml:space="preserve"> are single-backend writes — the product backend owns all endpoints, no sibling service called (draft ADR-011 §1).</w:t>
            </w:r>
          </w:p>
        </w:tc>
        <w:tc>
          <w:tcPr>
            <w:tcW w:type="dxa" w:w="170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product </w:t>
            </w:r>
            <w:r>
              <w:rPr>
                <w:rFonts w:ascii="Courier New" w:hAnsi="Courier New"/>
                <w:sz w:val="18"/>
              </w:rPr>
              <w:t>S-01</w:t>
            </w:r>
            <w:r>
              <w:rPr>
                <w:color w:val="373737"/>
                <w:sz w:val="18"/>
              </w:rPr>
              <w:t xml:space="preserve"> (gates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>/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>/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 only — see scope note)</w:t>
            </w:r>
          </w:p>
        </w:tc>
        <w:tc>
          <w:tcPr>
            <w:tcW w:type="dxa" w:w="170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association-side writes (D-01/D-02/D-04)</w:t>
            </w:r>
          </w:p>
        </w:tc>
        <w:tc>
          <w:tcPr>
            <w:tcW w:type="dxa" w:w="1709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complexStories/cross-domain-association/</w:t>
            </w:r>
            <w:r>
              <w:rPr>
                <w:color w:val="373737"/>
                <w:sz w:val="18"/>
              </w:rPr>
              <w:t xml:space="preserve"> (brief + draft ADR-011 + [story breakdown](../../output/complexStories/cross-domain-association/01-stories.md))</w:t>
            </w:r>
          </w:p>
        </w:tc>
        <w:tc>
          <w:tcPr>
            <w:tcW w:type="dxa" w:w="170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Draft ADR-011 proposed (sync orchestration + shared association component) —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>/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>/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 ACs updated — ratification pending</w:t>
            </w:r>
          </w:p>
        </w:tc>
      </w:tr>
    </w:tbl>
    <w:p/>
    <w:p>
      <w:pPr>
        <w:spacing w:after="40"/>
      </w:pPr>
      <w:r>
        <w:rPr>
          <w:b/>
          <w:color w:val="444444"/>
          <w:sz w:val="18"/>
        </w:rPr>
        <w:t>Sequencing:</w:t>
      </w:r>
      <w:r>
        <w:rPr>
          <w:color w:val="444444"/>
          <w:sz w:val="18"/>
        </w:rPr>
        <w:t xml:space="preserve"> </w:t>
      </w:r>
      <w:r>
        <w:rPr>
          <w:rFonts w:ascii="Courier New" w:hAnsi="Courier New"/>
          <w:sz w:val="18"/>
        </w:rPr>
        <w:t>SPIKE-01/02/03</w:t>
      </w:r>
      <w:r>
        <w:rPr>
          <w:color w:val="444444"/>
          <w:sz w:val="18"/>
        </w:rPr>
        <w:t xml:space="preserve"> are on the critical path (they block </w:t>
      </w:r>
      <w:r>
        <w:rPr>
          <w:rFonts w:ascii="Courier New" w:hAnsi="Courier New"/>
          <w:sz w:val="18"/>
        </w:rPr>
        <w:t>E</w:t>
      </w:r>
      <w:r>
        <w:rPr>
          <w:color w:val="444444"/>
          <w:sz w:val="18"/>
        </w:rPr>
        <w:t xml:space="preserve">-phase writes and TechPack); run them in Sprint 0 alongside each domain's </w:t>
      </w:r>
      <w:r>
        <w:rPr>
          <w:rFonts w:ascii="Courier New" w:hAnsi="Courier New"/>
          <w:sz w:val="18"/>
        </w:rPr>
        <w:t>B-01</w:t>
      </w:r>
      <w:r>
        <w:rPr>
          <w:color w:val="444444"/>
          <w:sz w:val="18"/>
        </w:rPr>
        <w:t xml:space="preserve"> module scaffold. </w:t>
      </w:r>
      <w:r>
        <w:rPr>
          <w:rFonts w:ascii="Courier New" w:hAnsi="Courier New"/>
          <w:sz w:val="18"/>
        </w:rPr>
        <w:t>04/05/06a/06b</w:t>
      </w:r>
      <w:r>
        <w:rPr>
          <w:color w:val="444444"/>
          <w:sz w:val="18"/>
        </w:rPr>
        <w:t xml:space="preserve"> block specific reads/writes and can run in parallel. Each spike concludes with the decision recorded back into the affected domain stories.</w:t>
      </w:r>
    </w:p>
    <w:p>
      <w:pPr>
        <w:spacing w:after="60"/>
      </w:pPr>
      <w:r>
        <w:rPr>
          <w:color w:val="373737"/>
          <w:sz w:val="19"/>
        </w:rPr>
        <w:t>&gt;</w:t>
      </w:r>
    </w:p>
    <w:p>
      <w:pPr>
        <w:spacing w:after="40"/>
      </w:pPr>
      <w:r>
        <w:rPr>
          <w:b/>
          <w:color w:val="444444"/>
          <w:sz w:val="18"/>
        </w:rPr>
        <w:t>Note on `06a`/`06b`:</w:t>
      </w:r>
      <w:r>
        <w:rPr>
          <w:color w:val="444444"/>
          <w:sz w:val="18"/>
        </w:rPr>
        <w:t xml:space="preserve"> these were originally tracked as one </w:t>
      </w:r>
      <w:r>
        <w:rPr>
          <w:rFonts w:ascii="Courier New" w:hAnsi="Courier New"/>
          <w:sz w:val="18"/>
        </w:rPr>
        <w:t>SPIKE-06</w:t>
      </w:r>
      <w:r>
        <w:rPr>
          <w:color w:val="444444"/>
          <w:sz w:val="18"/>
        </w:rPr>
        <w:t xml:space="preserve"> id. They're split because they answer different questions — 06a is "how do I </w:t>
      </w:r>
      <w:r>
        <w:rPr>
          <w:i/>
          <w:color w:val="444444"/>
          <w:sz w:val="18"/>
        </w:rPr>
        <w:t>read</w:t>
      </w:r>
      <w:r>
        <w:rPr>
          <w:color w:val="444444"/>
          <w:sz w:val="18"/>
        </w:rPr>
        <w:t xml:space="preserve"> another domain's data," 06b is "how does my </w:t>
      </w:r>
      <w:r>
        <w:rPr>
          <w:i/>
          <w:color w:val="444444"/>
          <w:sz w:val="18"/>
        </w:rPr>
        <w:t>write</w:t>
      </w:r>
      <w:r>
        <w:rPr>
          <w:color w:val="444444"/>
          <w:sz w:val="18"/>
        </w:rPr>
        <w:t xml:space="preserve"> also link into another domain" — and a story should only cite the one it actually needs.</w:t>
      </w:r>
    </w:p>
    <w:p>
      <w:pPr>
        <w:spacing w:before="240" w:after="80"/>
      </w:pPr>
      <w:r>
        <w:rPr>
          <w:b/>
          <w:color w:val="373737"/>
          <w:sz w:val="24"/>
        </w:rPr>
        <w:t>Non-spike complex cases (read pattern applied at cutover — no research decision needed)</w:t>
      </w:r>
    </w:p>
    <w:p>
      <w:pPr>
        <w:spacing w:after="40"/>
      </w:pPr>
      <w:r>
        <w:rPr>
          <w:color w:val="444444"/>
          <w:sz w:val="18"/>
        </w:rPr>
        <w:t xml:space="preserve">These recur across domains too, but the shape of the fix is already known (per-domain contribution + fan-out merge) — there's nothing to research, just build. They still get one </w:t>
      </w:r>
      <w:r>
        <w:rPr>
          <w:rFonts w:ascii="Courier New" w:hAnsi="Courier New"/>
          <w:sz w:val="18"/>
        </w:rPr>
        <w:t>complexStories/</w:t>
      </w:r>
      <w:r>
        <w:rPr>
          <w:color w:val="444444"/>
          <w:sz w:val="18"/>
        </w:rPr>
        <w:t xml:space="preserve"> brief each so the pattern is documented once instead of per-domain.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Bucket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Generic Problem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Domains affected (home story)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Research so far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attachmentsWithMetaData</w:t>
            </w:r>
            <w:r>
              <w:rPr>
                <w:color w:val="373737"/>
                <w:sz w:val="18"/>
              </w:rPr>
              <w:t xml:space="preserve"> enrichment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📎 </w:t>
            </w:r>
            <w:r>
              <w:rPr>
                <w:b/>
                <w:color w:val="373737"/>
                <w:sz w:val="18"/>
              </w:rPr>
              <w:t>One attachments tab, three sources</w:t>
            </w:r>
            <w:r>
              <w:rPr>
                <w:color w:val="373737"/>
                <w:sz w:val="18"/>
              </w:rPr>
              <w:t xml:space="preserve"> — files, discussion files, and sample files must merge into one ordered, ACL-filtered feed without a Relationship-Service walk.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product </w:t>
            </w:r>
            <w:r>
              <w:rPr>
                <w:rFonts w:ascii="Courier New" w:hAnsi="Courier New"/>
                <w:sz w:val="18"/>
              </w:rPr>
              <w:t>G-01/G-03</w:t>
            </w:r>
            <w:r>
              <w:rPr>
                <w:color w:val="373737"/>
                <w:sz w:val="18"/>
              </w:rPr>
              <w:t xml:space="preserve"> · workspace </w:t>
            </w:r>
            <w:r>
              <w:rPr>
                <w:rFonts w:ascii="Courier New" w:hAnsi="Courier New"/>
                <w:sz w:val="18"/>
              </w:rPr>
              <w:t>G-01/G-03</w:t>
            </w:r>
            <w:r>
              <w:rPr>
                <w:color w:val="373737"/>
                <w:sz w:val="18"/>
              </w:rPr>
              <w:t xml:space="preserve"> (later phase)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complexStories/attachments-enrichment/</w:t>
            </w:r>
            <w:r>
              <w:rPr>
                <w:color w:val="373737"/>
                <w:sz w:val="18"/>
              </w:rPr>
              <w:t xml:space="preserve"> (brief + draft ADR-018 + [story breakdown](../../output/complexStories/attachments-enrichment/01-stories.md))</w:t>
            </w:r>
          </w:p>
        </w:tc>
      </w:tr>
      <w:tr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components</w:t>
            </w:r>
            <w:r>
              <w:rPr>
                <w:color w:val="373737"/>
                <w:sz w:val="18"/>
              </w:rPr>
              <w:t xml:space="preserve"> + </w:t>
            </w:r>
            <w:r>
              <w:rPr>
                <w:rFonts w:ascii="Courier New" w:hAnsi="Courier New"/>
                <w:sz w:val="18"/>
              </w:rPr>
              <w:t>counts</w:t>
            </w:r>
            <w:r>
              <w:rPr>
                <w:color w:val="373737"/>
                <w:sz w:val="18"/>
              </w:rPr>
              <w:t xml:space="preserve"> rollups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🧮 </w:t>
            </w:r>
            <w:r>
              <w:rPr>
                <w:b/>
                <w:color w:val="373737"/>
                <w:sz w:val="18"/>
              </w:rPr>
              <w:t>Five domains, one dashboard number</w:t>
            </w:r>
            <w:r>
              <w:rPr>
                <w:color w:val="373737"/>
                <w:sz w:val="18"/>
              </w:rPr>
              <w:t xml:space="preserve"> — a product's component list and a workspace's counts strip both roll up parallel per-domain fan-outs plus a batched ACL call into a single screen's worth of data.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product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 · workspace </w:t>
            </w:r>
            <w:r>
              <w:rPr>
                <w:rFonts w:ascii="Courier New" w:hAnsi="Courier New"/>
                <w:sz w:val="18"/>
              </w:rPr>
              <w:t>G-02/G-04</w:t>
            </w:r>
            <w:r>
              <w:rPr>
                <w:color w:val="373737"/>
                <w:sz w:val="18"/>
              </w:rPr>
              <w:t xml:space="preserve"> (later phase)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complexStories/components-and-counts-rollups/</w:t>
            </w:r>
            <w:r>
              <w:rPr>
                <w:color w:val="373737"/>
                <w:sz w:val="18"/>
              </w:rPr>
              <w:t xml:space="preserve"> (brief + draft ADR-014 + [story breakdown](../../output/complexStories/components-and-counts-rollups/01-stories.md))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T-Shirt Size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60" w:hRule="atLeast"/>
        </w:trPr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T-Shirt</w:t>
            </w:r>
          </w:p>
        </w:tc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 count</w:t>
            </w:r>
          </w:p>
        </w:tc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 (high est., eng-days)</w:t>
            </w:r>
          </w:p>
        </w:tc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Rule</w:t>
            </w:r>
          </w:p>
        </w:tc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Typical scope</w:t>
            </w:r>
          </w:p>
        </w:tc>
      </w:tr>
      <w:tr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b/>
                <w:color w:val="373737"/>
                <w:sz w:val="18"/>
              </w:rPr>
              <w:t>XXL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≥ 60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≥ 200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stories ≥ 60 OR effort_hi ≥ 200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Very large, cross-domain initiative</w:t>
            </w:r>
          </w:p>
        </w:tc>
      </w:tr>
      <w:tr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b/>
                <w:color w:val="373737"/>
                <w:sz w:val="18"/>
              </w:rPr>
              <w:t>XL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35–59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100–199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stories ≥ 35 OR effort_hi ≥ 100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Large feature or domain</w:t>
            </w:r>
          </w:p>
        </w:tc>
      </w:tr>
      <w:tr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</w:t>
            </w:r>
            <w:r>
              <w:rPr>
                <w:b/>
                <w:color w:val="373737"/>
                <w:sz w:val="18"/>
              </w:rPr>
              <w:t>L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25–34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60–99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stories ≥ 25 OR effort_hi ≥ 60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Medium-large project</w:t>
            </w:r>
          </w:p>
        </w:tc>
      </w:tr>
      <w:tr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b/>
                <w:color w:val="373737"/>
                <w:sz w:val="18"/>
              </w:rPr>
              <w:t>M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15–24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40–59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stories ≥ 15 OR effort_hi ≥ 40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Medium-sized project</w:t>
            </w:r>
          </w:p>
        </w:tc>
      </w:tr>
      <w:tr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b/>
                <w:color w:val="373737"/>
                <w:sz w:val="18"/>
              </w:rPr>
              <w:t>S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8–14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20–39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stories ≥ 8 OR effort_hi ≥ 20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Small project</w:t>
            </w:r>
          </w:p>
        </w:tc>
      </w:tr>
      <w:tr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b/>
                <w:color w:val="373737"/>
                <w:sz w:val="18"/>
              </w:rPr>
              <w:t>XS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&lt; 8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&lt; 20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otherwise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Minor enhancement or maintenance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Domain Index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432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#</w:t>
            </w:r>
          </w:p>
        </w:tc>
        <w:tc>
          <w:tcPr>
            <w:shd w:val="clear" w:color="auto" w:fill="DAE8FC"/>
            <w:vAlign w:val="top"/>
            <w:tcW w:w="1728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Domain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Target DGS</w:t>
            </w:r>
          </w:p>
        </w:tc>
        <w:tc>
          <w:tcPr>
            <w:shd w:val="clear" w:color="auto" w:fill="DAE8FC"/>
            <w:vAlign w:val="top"/>
            <w:tcW w:w="792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T-Shirt</w:t>
            </w:r>
          </w:p>
        </w:tc>
        <w:tc>
          <w:tcPr>
            <w:shd w:val="clear" w:color="auto" w:fill="DAE8FC"/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BE Stories</w:t>
            </w:r>
          </w:p>
        </w:tc>
        <w:tc>
          <w:tcPr>
            <w:shd w:val="clear" w:color="auto" w:fill="DAE8FC"/>
            <w:vAlign w:val="top"/>
            <w:tcW w:w="57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🔴 VH</w:t>
            </w:r>
          </w:p>
        </w:tc>
        <w:tc>
          <w:tcPr>
            <w:shd w:val="clear" w:color="auto" w:fill="DAE8FC"/>
            <w:vAlign w:val="top"/>
            <w:tcW w:w="57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🟠 H</w:t>
            </w:r>
          </w:p>
        </w:tc>
        <w:tc>
          <w:tcPr>
            <w:shd w:val="clear" w:color="auto" w:fill="DAE8FC"/>
            <w:vAlign w:val="top"/>
            <w:tcW w:w="57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🟡 M</w:t>
            </w:r>
          </w:p>
        </w:tc>
        <w:tc>
          <w:tcPr>
            <w:shd w:val="clear" w:color="auto" w:fill="DAE8FC"/>
            <w:vAlign w:val="top"/>
            <w:tcW w:w="57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🟢 L</w:t>
            </w:r>
          </w:p>
        </w:tc>
        <w:tc>
          <w:tcPr>
            <w:shd w:val="clear" w:color="auto" w:fill="DAE8FC"/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FE Stories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FE effort</w:t>
            </w:r>
          </w:p>
        </w:tc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Breakdown pages</w:t>
            </w:r>
          </w:p>
        </w:tc>
      </w:tr>
      <w:tr>
        <w:tc>
          <w:tcPr>
            <w:vAlign w:val="top"/>
            <w:tcW w:w="43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vAlign w:val="top"/>
            <w:tcW w:w="172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Bill of Materials (BOM)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plm-product (co-located)</w:t>
            </w:r>
          </w:p>
        </w:tc>
        <w:tc>
          <w:tcPr>
            <w:vAlign w:val="top"/>
            <w:tcW w:w="79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XL</w:t>
            </w:r>
          </w:p>
        </w:tc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37</w:t>
            </w:r>
          </w:p>
        </w:tc>
        <w:tc>
          <w:tcPr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13</w:t>
            </w:r>
          </w:p>
        </w:tc>
        <w:tc>
          <w:tcPr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21</w:t>
            </w:r>
          </w:p>
        </w:tc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29–46d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FederatedGqlBreakDown-bom</w:t>
            </w:r>
          </w:p>
        </w:tc>
      </w:tr>
      <w:tr>
        <w:tc>
          <w:tcPr>
            <w:shd w:val="clear" w:color="auto" w:fill="F5F8FF"/>
            <w:vAlign w:val="top"/>
            <w:tcW w:w="43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shd w:val="clear" w:color="auto" w:fill="F5F8FF"/>
            <w:vAlign w:val="top"/>
            <w:tcW w:w="172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Claims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spark-claims (separate)</w:t>
            </w:r>
          </w:p>
        </w:tc>
        <w:tc>
          <w:tcPr>
            <w:shd w:val="clear" w:color="auto" w:fill="F5F8FF"/>
            <w:vAlign w:val="top"/>
            <w:tcW w:w="79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L</w:t>
            </w:r>
          </w:p>
        </w:tc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20</w:t>
            </w:r>
          </w:p>
        </w:tc>
        <w:tc>
          <w:tcPr>
            <w:shd w:val="clear" w:color="auto" w:fill="F5F8FF"/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0</w:t>
            </w:r>
          </w:p>
        </w:tc>
        <w:tc>
          <w:tcPr>
            <w:shd w:val="clear" w:color="auto" w:fill="F5F8FF"/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shd w:val="clear" w:color="auto" w:fill="F5F8FF"/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8</w:t>
            </w:r>
          </w:p>
        </w:tc>
        <w:tc>
          <w:tcPr>
            <w:shd w:val="clear" w:color="auto" w:fill="F5F8FF"/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10</w:t>
            </w:r>
          </w:p>
        </w:tc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17–27d</w:t>
            </w:r>
          </w:p>
        </w:tc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FederatedGqlBreakDown-claims</w:t>
            </w:r>
          </w:p>
        </w:tc>
      </w:tr>
      <w:tr>
        <w:tc>
          <w:tcPr>
            <w:vAlign w:val="top"/>
            <w:tcW w:w="43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vAlign w:val="top"/>
            <w:tcW w:w="172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Impression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plm-product (co-located)</w:t>
            </w:r>
          </w:p>
        </w:tc>
        <w:tc>
          <w:tcPr>
            <w:vAlign w:val="top"/>
            <w:tcW w:w="79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XS</w:t>
            </w:r>
          </w:p>
        </w:tc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0</w:t>
            </w:r>
          </w:p>
        </w:tc>
        <w:tc>
          <w:tcPr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0</w:t>
            </w:r>
          </w:p>
        </w:tc>
        <w:tc>
          <w:tcPr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3–5d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FederatedGqlBreakDown-impression</w:t>
            </w:r>
          </w:p>
        </w:tc>
      </w:tr>
      <w:tr>
        <w:tc>
          <w:tcPr>
            <w:shd w:val="clear" w:color="auto" w:fill="F5F8FF"/>
            <w:vAlign w:val="top"/>
            <w:tcW w:w="43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shd w:val="clear" w:color="auto" w:fill="F5F8FF"/>
            <w:vAlign w:val="top"/>
            <w:tcW w:w="172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Measurement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plm-product (co-located)</w:t>
            </w:r>
          </w:p>
        </w:tc>
        <w:tc>
          <w:tcPr>
            <w:shd w:val="clear" w:color="auto" w:fill="F5F8FF"/>
            <w:vAlign w:val="top"/>
            <w:tcW w:w="79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</w:t>
            </w:r>
          </w:p>
        </w:tc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20</w:t>
            </w:r>
          </w:p>
        </w:tc>
        <w:tc>
          <w:tcPr>
            <w:shd w:val="clear" w:color="auto" w:fill="F5F8FF"/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0</w:t>
            </w:r>
          </w:p>
        </w:tc>
        <w:tc>
          <w:tcPr>
            <w:shd w:val="clear" w:color="auto" w:fill="F5F8FF"/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shd w:val="clear" w:color="auto" w:fill="F5F8FF"/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shd w:val="clear" w:color="auto" w:fill="F5F8FF"/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14</w:t>
            </w:r>
          </w:p>
        </w:tc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12–19d</w:t>
            </w:r>
          </w:p>
        </w:tc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FederatedGqlBreakDown-measurement</w:t>
            </w:r>
          </w:p>
        </w:tc>
      </w:tr>
      <w:tr>
        <w:tc>
          <w:tcPr>
            <w:vAlign w:val="top"/>
            <w:tcW w:w="43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vAlign w:val="top"/>
            <w:tcW w:w="172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Packaging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plm-product (co-located)</w:t>
            </w:r>
          </w:p>
        </w:tc>
        <w:tc>
          <w:tcPr>
            <w:vAlign w:val="top"/>
            <w:tcW w:w="79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L</w:t>
            </w:r>
          </w:p>
        </w:tc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23</w:t>
            </w:r>
          </w:p>
        </w:tc>
        <w:tc>
          <w:tcPr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0</w:t>
            </w:r>
          </w:p>
        </w:tc>
        <w:tc>
          <w:tcPr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8</w:t>
            </w:r>
          </w:p>
        </w:tc>
        <w:tc>
          <w:tcPr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13</w:t>
            </w:r>
          </w:p>
        </w:tc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21–33d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FederatedGqlBreakDown-packaging</w:t>
            </w:r>
          </w:p>
        </w:tc>
      </w:tr>
      <w:tr>
        <w:tc>
          <w:tcPr>
            <w:shd w:val="clear" w:color="auto" w:fill="F5F8FF"/>
            <w:vAlign w:val="top"/>
            <w:tcW w:w="43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shd w:val="clear" w:color="auto" w:fill="F5F8FF"/>
            <w:vAlign w:val="top"/>
            <w:tcW w:w="172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Product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plm-product (host)</w:t>
            </w:r>
          </w:p>
        </w:tc>
        <w:tc>
          <w:tcPr>
            <w:shd w:val="clear" w:color="auto" w:fill="F5F8FF"/>
            <w:vAlign w:val="top"/>
            <w:tcW w:w="79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XXL</w:t>
            </w:r>
          </w:p>
        </w:tc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69</w:t>
            </w:r>
          </w:p>
        </w:tc>
        <w:tc>
          <w:tcPr>
            <w:shd w:val="clear" w:color="auto" w:fill="F5F8FF"/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shd w:val="clear" w:color="auto" w:fill="F5F8FF"/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shd w:val="clear" w:color="auto" w:fill="F5F8FF"/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27</w:t>
            </w:r>
          </w:p>
        </w:tc>
        <w:tc>
          <w:tcPr>
            <w:shd w:val="clear" w:color="auto" w:fill="F5F8FF"/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33</w:t>
            </w:r>
          </w:p>
        </w:tc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12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66–102d</w:t>
            </w:r>
          </w:p>
        </w:tc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FederatedGqlBreakDown-product</w:t>
            </w:r>
          </w:p>
        </w:tc>
      </w:tr>
      <w:tr>
        <w:tc>
          <w:tcPr>
            <w:vAlign w:val="top"/>
            <w:tcW w:w="43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vAlign w:val="top"/>
            <w:tcW w:w="172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Product Details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plm-product (co-located)</w:t>
            </w:r>
          </w:p>
        </w:tc>
        <w:tc>
          <w:tcPr>
            <w:vAlign w:val="top"/>
            <w:tcW w:w="79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</w:t>
            </w:r>
          </w:p>
        </w:tc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12</w:t>
            </w:r>
          </w:p>
        </w:tc>
        <w:tc>
          <w:tcPr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0</w:t>
            </w:r>
          </w:p>
        </w:tc>
        <w:tc>
          <w:tcPr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8–12d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FederatedGqlBreakDown-productDetails</w:t>
            </w:r>
          </w:p>
        </w:tc>
      </w:tr>
      <w:tr>
        <w:tc>
          <w:tcPr>
            <w:shd w:val="clear" w:color="auto" w:fill="F5F8FF"/>
            <w:vAlign w:val="top"/>
            <w:tcW w:w="43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8</w:t>
            </w:r>
          </w:p>
        </w:tc>
        <w:tc>
          <w:tcPr>
            <w:shd w:val="clear" w:color="auto" w:fill="F5F8FF"/>
            <w:vAlign w:val="top"/>
            <w:tcW w:w="172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Watchlist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plm-product (co-located)</w:t>
            </w:r>
          </w:p>
        </w:tc>
        <w:tc>
          <w:tcPr>
            <w:shd w:val="clear" w:color="auto" w:fill="F5F8FF"/>
            <w:vAlign w:val="top"/>
            <w:tcW w:w="79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</w:t>
            </w:r>
          </w:p>
        </w:tc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13</w:t>
            </w:r>
          </w:p>
        </w:tc>
        <w:tc>
          <w:tcPr>
            <w:shd w:val="clear" w:color="auto" w:fill="F5F8FF"/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0</w:t>
            </w:r>
          </w:p>
        </w:tc>
        <w:tc>
          <w:tcPr>
            <w:shd w:val="clear" w:color="auto" w:fill="F5F8FF"/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shd w:val="clear" w:color="auto" w:fill="F5F8FF"/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shd w:val="clear" w:color="auto" w:fill="F5F8FF"/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7–10d</w:t>
            </w:r>
          </w:p>
        </w:tc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FederatedGqlBreakDown-watchlist</w:t>
            </w:r>
          </w:p>
        </w:tc>
      </w:tr>
      <w:tr>
        <w:tc>
          <w:tcPr>
            <w:vAlign w:val="top"/>
            <w:tcW w:w="43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vAlign w:val="top"/>
            <w:tcW w:w="172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TOTAL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vAlign w:val="top"/>
            <w:tcW w:w="79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201</w:t>
            </w:r>
          </w:p>
        </w:tc>
        <w:tc>
          <w:tcPr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13</w:t>
            </w:r>
          </w:p>
        </w:tc>
        <w:tc>
          <w:tcPr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74</w:t>
            </w:r>
          </w:p>
        </w:tc>
        <w:tc>
          <w:tcPr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108</w:t>
            </w:r>
          </w:p>
        </w:tc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40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163–254d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</w:tbl>
    <w:p/>
    <w:p>
      <w:pPr>
        <w:spacing w:after="200"/>
      </w:pPr>
      <w:r>
        <w:rPr>
          <w:i/>
          <w:color w:val="444444"/>
          <w:sz w:val="16"/>
        </w:rPr>
        <w:t>🔷 Query · 🔶 Mutation · 🔸 Field Resolver   🔴 Very High · 🟠 High · 🟡 Medium · 🟢 Low   🔴🔬 spike-gated · 📖 B · 🔍 C · ✏️ D · ⚙️ E · 🔗 F · 🧪 G</w:t>
      </w:r>
    </w:p>
    <w:p>
      <w:pPr>
        <w:spacing w:before="240" w:after="80"/>
      </w:pPr>
      <w:r>
        <w:rPr>
          <w:b/>
          <w:color w:val="1F497D"/>
          <w:sz w:val="28"/>
        </w:rPr>
        <w:t>🔬 Spike Detail — the brief + the resolvers each spike touches</w:t>
      </w:r>
    </w:p>
    <w:p>
      <w:pPr>
        <w:spacing w:after="40"/>
      </w:pPr>
      <w:r>
        <w:rPr>
          <w:color w:val="444444"/>
          <w:sz w:val="18"/>
        </w:rPr>
        <w:t xml:space="preserve">For each spike: what it means, the decision to make, and the exact queries/mutations/field-resolvers it covers — with the </w:t>
      </w:r>
      <w:r>
        <w:rPr>
          <w:b/>
          <w:color w:val="444444"/>
          <w:sz w:val="18"/>
        </w:rPr>
        <w:t>external services each one calls today</w:t>
      </w:r>
      <w:r>
        <w:rPr>
          <w:color w:val="444444"/>
          <w:sz w:val="18"/>
        </w:rPr>
        <w:t xml:space="preserve"> and a </w:t>
      </w:r>
      <w:r>
        <w:rPr>
          <w:b/>
          <w:color w:val="444444"/>
          <w:sz w:val="18"/>
        </w:rPr>
        <w:t>one-line summary of its current logic</w:t>
      </w:r>
      <w:r>
        <w:rPr>
          <w:color w:val="444444"/>
          <w:sz w:val="18"/>
        </w:rPr>
        <w:t>, so an engineer knows what to look at before starting.</w:t>
      </w:r>
    </w:p>
    <w:p>
      <w:pPr>
        <w:spacing w:before="240" w:after="80"/>
      </w:pPr>
      <w:r>
        <w:rPr>
          <w:b/>
          <w:color w:val="373737"/>
          <w:sz w:val="24"/>
        </w:rPr>
        <w:t>🔬 `SPIKE-01` · Non-Atomic Write Saga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Some “save” buttons actually fire two or three separate backend calls in a row (e.g. first update which workspaces a record belongs to, then save the record body, then save its permissions).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There is no database transaction across them, so if call 2 or 3 fails, call 1 is already committed and nothing undoes it — the record is left half-saved.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This spike picks one consistent way to detect and recover from that partial failure for every write of this shape.</w:t>
      </w:r>
    </w:p>
    <w:p>
      <w:pPr>
        <w:spacing w:after="60"/>
      </w:pPr>
      <w:r>
        <w:rPr>
          <w:b/>
          <w:color w:val="373737"/>
          <w:sz w:val="19"/>
        </w:rPr>
        <w:t>Decision to make:</w:t>
      </w:r>
      <w:r>
        <w:rPr>
          <w:color w:val="373737"/>
          <w:sz w:val="19"/>
        </w:rPr>
        <w:t xml:space="preserve"> Pick (a) compensating saga, (b) compensation-log + best-effort, or (c) best-effort — and write down how to undo each step.</w:t>
      </w:r>
    </w:p>
    <w:p>
      <w:pPr>
        <w:spacing w:after="60"/>
      </w:pPr>
      <w:r>
        <w:rPr>
          <w:b/>
          <w:color w:val="373737"/>
          <w:sz w:val="19"/>
        </w:rPr>
        <w:t>Intended cross-domain steps:</w:t>
      </w:r>
    </w:p>
    <w:p>
      <w:pPr>
        <w:spacing w:after="60"/>
      </w:pPr>
      <w:r>
        <w:rPr>
          <w:color w:val="373737"/>
          <w:sz w:val="19"/>
        </w:rPr>
        <w:t xml:space="preserve">1. Open a </w:t>
      </w:r>
      <w:r>
        <w:rPr>
          <w:b/>
          <w:color w:val="373737"/>
          <w:sz w:val="19"/>
        </w:rPr>
        <w:t>write-saga</w:t>
      </w:r>
      <w:r>
        <w:rPr>
          <w:color w:val="373737"/>
          <w:sz w:val="19"/>
        </w:rPr>
        <w:t xml:space="preserve"> and record each step so it can be undone</w:t>
      </w:r>
    </w:p>
    <w:p>
      <w:pPr>
        <w:spacing w:after="60"/>
      </w:pPr>
      <w:r>
        <w:rPr>
          <w:color w:val="373737"/>
          <w:sz w:val="19"/>
        </w:rPr>
        <w:t xml:space="preserve">2. PUT </w:t>
      </w:r>
      <w:r>
        <w:rPr>
          <w:b/>
          <w:color w:val="373737"/>
          <w:sz w:val="19"/>
        </w:rPr>
        <w:t>workspace-association</w:t>
      </w:r>
      <w:r>
        <w:rPr>
          <w:color w:val="373737"/>
          <w:sz w:val="19"/>
        </w:rPr>
        <w:t xml:space="preserve"> first (compensatable — remembers add/remove to reverse)</w:t>
      </w:r>
    </w:p>
    <w:p>
      <w:pPr>
        <w:spacing w:after="60"/>
      </w:pPr>
      <w:r>
        <w:rPr>
          <w:color w:val="373737"/>
          <w:sz w:val="19"/>
        </w:rPr>
        <w:t xml:space="preserve">3. PUT the </w:t>
      </w:r>
      <w:r>
        <w:rPr>
          <w:b/>
          <w:color w:val="373737"/>
          <w:sz w:val="19"/>
        </w:rPr>
        <w:t>record body</w:t>
      </w:r>
      <w:r>
        <w:rPr>
          <w:color w:val="373737"/>
          <w:sz w:val="19"/>
        </w:rPr>
        <w:t xml:space="preserve"> (typed validation exception on error)</w:t>
      </w:r>
    </w:p>
    <w:p>
      <w:pPr>
        <w:spacing w:after="60"/>
      </w:pPr>
      <w:r>
        <w:rPr>
          <w:color w:val="373737"/>
          <w:sz w:val="19"/>
        </w:rPr>
        <w:t xml:space="preserve">4. PUT </w:t>
      </w:r>
      <w:r>
        <w:rPr>
          <w:b/>
          <w:color w:val="373737"/>
          <w:sz w:val="19"/>
        </w:rPr>
        <w:t>permissions/partners</w:t>
      </w:r>
      <w:r>
        <w:rPr>
          <w:color w:val="373737"/>
          <w:sz w:val="19"/>
        </w:rPr>
        <w:t xml:space="preserve"> only if the input carries them</w:t>
      </w:r>
    </w:p>
    <w:p>
      <w:pPr>
        <w:spacing w:after="60"/>
      </w:pPr>
      <w:r>
        <w:rPr>
          <w:color w:val="373737"/>
          <w:sz w:val="19"/>
        </w:rPr>
        <w:t>5. On any step failure → run the chosen strategy: compensate (saga) or log + best-effort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65"/>
        <w:gridCol w:w="1465"/>
        <w:gridCol w:w="1465"/>
        <w:gridCol w:w="1465"/>
        <w:gridCol w:w="1465"/>
        <w:gridCol w:w="1465"/>
        <w:gridCol w:w="1465"/>
      </w:tblGrid>
      <w:tr>
        <w:trPr>
          <w:trHeight w:val="360" w:hRule="atLeast"/>
        </w:trPr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Resolver (home story)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Domain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Kind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Calls (external services)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What it does today (minimal)</w:t>
            </w:r>
          </w:p>
        </w:tc>
        <w:tc>
          <w:tcPr>
            <w:tcW w:type="dxa" w:w="1465"/>
          </w:tcPr>
          <w:p/>
        </w:tc>
        <w:tc>
          <w:tcPr>
            <w:tcW w:type="dxa" w:w="1465"/>
          </w:tcPr>
          <w:p/>
        </w:tc>
      </w:tr>
      <w:tr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🔴🔬 </w:t>
            </w:r>
            <w:r>
              <w:rPr>
                <w:rFonts w:ascii="Courier New" w:hAnsi="Courier New"/>
                <w:sz w:val="18"/>
              </w:rPr>
              <w:t>BOM-BE-E-01</w:t>
            </w:r>
            <w:r>
              <w:rPr>
                <w:color w:val="373737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updateBom</w:t>
            </w:r>
            <w:r>
              <w:rPr>
                <w:color w:val="373737"/>
                <w:sz w:val="18"/>
              </w:rPr>
              <w:t xml:space="preserve"> — 3-step orchestrated write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bom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workspaceV2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editing a bom today is really three separate backend calls made one - after another, with no undo button: (1) if the caller changed which workspaces the bom belongs…</w:t>
            </w:r>
          </w:p>
        </w:tc>
        <w:tc>
          <w:tcPr>
            <w:tcW w:type="dxa" w:w="1465"/>
          </w:tcPr>
          <w:p/>
        </w:tc>
        <w:tc>
          <w:tcPr>
            <w:tcW w:type="dxa" w:w="1465"/>
          </w:tcPr>
          <w:p/>
        </w:tc>
      </w:tr>
      <w:tr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🔴🔬 </w:t>
            </w:r>
            <w:r>
              <w:rPr>
                <w:rFonts w:ascii="Courier New" w:hAnsi="Courier New"/>
                <w:sz w:val="18"/>
              </w:rPr>
              <w:t>CLAIM-BE-E-01</w:t>
            </w:r>
            <w:r>
              <w:rPr>
                <w:color w:val="373737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updateClaim</w:t>
            </w:r>
            <w:r>
              <w:rPr>
                <w:color w:val="373737"/>
                <w:sz w:val="18"/>
              </w:rPr>
              <w:t xml:space="preserve"> (proxy ACL + multi-step write)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claims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workspaceV2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getUserPermissionsJWTByProxy({id:humanId, proxyIds:[parentId], basePermissions:true}) (proxy/external ACL path — context only); 2) if workspaceContext.{add,remove}…</w:t>
            </w:r>
          </w:p>
        </w:tc>
        <w:tc>
          <w:tcPr>
            <w:tcW w:type="dxa" w:w="1465"/>
            <w:shd w:val="clear" w:color="auto" w:fill="F5F8FF"/>
          </w:tcPr>
          <w:p/>
        </w:tc>
        <w:tc>
          <w:tcPr>
            <w:tcW w:type="dxa" w:w="1465"/>
            <w:shd w:val="clear" w:color="auto" w:fill="F5F8FF"/>
          </w:tcPr>
          <w:p/>
        </w:tc>
      </w:tr>
      <w:tr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🔴🔬 </w:t>
            </w:r>
            <w:r>
              <w:rPr>
                <w:rFonts w:ascii="Courier New" w:hAnsi="Courier New"/>
                <w:sz w:val="18"/>
              </w:rPr>
              <w:t>MST-BE-E-01</w:t>
            </w:r>
            <w:r>
              <w:rPr>
                <w:color w:val="373737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updateMeasurement</w:t>
            </w:r>
            <w:r>
              <w:rPr>
                <w:color w:val="373737"/>
                <w:sz w:val="18"/>
              </w:rPr>
              <w:t xml:space="preserve"> — 2-step orchestrated write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measurement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workspaceV2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workspaceAssociations = sparkMeasurement.updateWorkspaceAssociations \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\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{}. token for [humanId]. 2. If add/remove workspaces → workspaceAssociationHelper(MEASUREMENT…</w:t>
            </w:r>
          </w:p>
        </w:tc>
      </w:tr>
      <w:tr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🔴🔬 </w:t>
            </w:r>
            <w:r>
              <w:rPr>
                <w:rFonts w:ascii="Courier New" w:hAnsi="Courier New"/>
                <w:sz w:val="18"/>
              </w:rPr>
              <w:t>PKG-BE-E-01</w:t>
            </w:r>
            <w:r>
              <w:rPr>
                <w:color w:val="373737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updatePackaging</w:t>
            </w:r>
            <w:r>
              <w:rPr>
                <w:color w:val="373737"/>
                <w:sz w:val="18"/>
              </w:rPr>
              <w:t xml:space="preserve"> (multi-step write)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packaging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attachment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relationship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token; set humanId=packagingId; PUT packaging/v1 (body); 2) if attachmentsToRemove → (attachment) archiveAttachmentBulkV2 + (relationship) removeRelationship; 3) if…</w:t>
            </w:r>
          </w:p>
        </w:tc>
        <w:tc>
          <w:tcPr>
            <w:tcW w:type="dxa" w:w="1465"/>
            <w:shd w:val="clear" w:color="auto" w:fill="F5F8FF"/>
          </w:tcPr>
          <w:p/>
        </w:tc>
        <w:tc>
          <w:tcPr>
            <w:tcW w:type="dxa" w:w="1465"/>
            <w:shd w:val="clear" w:color="auto" w:fill="F5F8FF"/>
          </w:tcPr>
          <w:p/>
        </w:tc>
      </w:tr>
      <w:tr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🔴🔬 </w:t>
            </w:r>
            <w:r>
              <w:rPr>
                <w:rFonts w:ascii="Courier New" w:hAnsi="Courier New"/>
                <w:sz w:val="18"/>
              </w:rPr>
              <w:t>PRODUCT-BE-E-00</w:t>
            </w:r>
            <w:r>
              <w:rPr>
                <w:color w:val="373737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WriteSaga</w:t>
            </w:r>
            <w:r>
              <w:rPr>
                <w:color w:val="373737"/>
                <w:sz w:val="18"/>
              </w:rPr>
              <w:t xml:space="preserve"> shared module (Sprint 0, critical path)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product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Service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 (internal only)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1465"/>
          </w:tcPr>
          <w:p/>
        </w:tc>
        <w:tc>
          <w:tcPr>
            <w:tcW w:type="dxa" w:w="1465"/>
          </w:tcPr>
          <w:p/>
        </w:tc>
      </w:tr>
      <w:tr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🔴🔬 </w:t>
            </w:r>
            <w:r>
              <w:rPr>
                <w:rFonts w:ascii="Courier New" w:hAnsi="Courier New"/>
                <w:sz w:val="18"/>
              </w:rPr>
              <w:t>PRODUCT-BE-E-02</w:t>
            </w:r>
            <w:r>
              <w:rPr>
                <w:color w:val="373737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updateComponentStatuses</w:t>
            </w:r>
            <w:r>
              <w:rPr>
                <w:color w:val="373737"/>
                <w:sz w:val="18"/>
              </w:rPr>
              <w:t xml:space="preserve"> (5-loader fan-out)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product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claim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updating component statuses fans out to 5 places in parallel (bom, - measurement, productDetail, packaging — all internal — plus claim, external). - The bug: a loop…</w:t>
            </w:r>
          </w:p>
        </w:tc>
        <w:tc>
          <w:tcPr>
            <w:tcW w:type="dxa" w:w="1465"/>
            <w:shd w:val="clear" w:color="auto" w:fill="F5F8FF"/>
          </w:tcPr>
          <w:p/>
        </w:tc>
        <w:tc>
          <w:tcPr>
            <w:tcW w:type="dxa" w:w="1465"/>
            <w:shd w:val="clear" w:color="auto" w:fill="F5F8FF"/>
          </w:tcPr>
          <w:p/>
        </w:tc>
      </w:tr>
      <w:tr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🔴🔬 </w:t>
            </w:r>
            <w:r>
              <w:rPr>
                <w:rFonts w:ascii="Courier New" w:hAnsi="Courier New"/>
                <w:sz w:val="18"/>
              </w:rPr>
              <w:t>PDTL-BE-E-01</w:t>
            </w:r>
            <w:r>
              <w:rPr>
                <w:color w:val="373737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updateProductDetailsSet</w:t>
            </w:r>
            <w:r>
              <w:rPr>
                <w:color w:val="373737"/>
                <w:sz w:val="18"/>
              </w:rPr>
              <w:t xml:space="preserve"> (multi-step write)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productDetails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attachment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workspaceV2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if workspaceContext.{add,remove}Workspaces non-empty → workspaceAssociationHelper(PRODUCT_DETAIL, id, add, remove) (throws on error); 2) null workspaceContext; 3) if…</w:t>
            </w:r>
          </w:p>
        </w:tc>
        <w:tc>
          <w:tcPr>
            <w:tcW w:type="dxa" w:w="1465"/>
          </w:tcPr>
          <w:p/>
        </w:tc>
        <w:tc>
          <w:tcPr>
            <w:tcW w:type="dxa" w:w="1465"/>
          </w:tcPr>
          <w:p/>
        </w:tc>
      </w:tr>
      <w:tr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🔴🔬 </w:t>
            </w:r>
            <w:r>
              <w:rPr>
                <w:rFonts w:ascii="Courier New" w:hAnsi="Courier New"/>
                <w:sz w:val="18"/>
              </w:rPr>
              <w:t>WATCHLIST-BE-E-01</w:t>
            </w:r>
            <w:r>
              <w:rPr>
                <w:color w:val="373737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updateWatchlistEntries</w:t>
            </w:r>
            <w:r>
              <w:rPr>
                <w:color w:val="373737"/>
                <w:sz w:val="18"/>
              </w:rPr>
              <w:t xml:space="preserve"> (multi-step write)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watchlist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attachment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userGroup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per-entry (currently NOT awaited — bug): getUserGroups([humanId]); if existing participants → updateUserGroup, else (user-group) addUserGroup (throw on error); 2)…</w:t>
            </w:r>
          </w:p>
        </w:tc>
        <w:tc>
          <w:tcPr>
            <w:tcW w:type="dxa" w:w="1465"/>
            <w:shd w:val="clear" w:color="auto" w:fill="F5F8FF"/>
          </w:tcPr>
          <w:p/>
        </w:tc>
        <w:tc>
          <w:tcPr>
            <w:tcW w:type="dxa" w:w="1465"/>
            <w:shd w:val="clear" w:color="auto" w:fill="F5F8FF"/>
          </w:tcPr>
          <w:p/>
        </w:tc>
      </w:tr>
    </w:tbl>
    <w:p/>
    <w:p>
      <w:pPr>
        <w:spacing w:before="240" w:after="80"/>
      </w:pPr>
      <w:r>
        <w:rPr>
          <w:b/>
          <w:color w:val="373737"/>
          <w:sz w:val="24"/>
        </w:rPr>
        <w:t>🔬 `SPIKE-02` · TechPack Aggregate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A “TechPack” is one screen that shows counts and lists pulled from ~8 different backend services (attachments, discussions, samples, claims, BOMs, measurements, constructions, watchlists).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Today a single gateway helper calls all of them and adds up the numbers.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This spike decides how to assemble that one entity under federation so each service owns and contributes its own slice.</w:t>
      </w:r>
    </w:p>
    <w:p>
      <w:pPr>
        <w:spacing w:after="60"/>
      </w:pPr>
      <w:r>
        <w:rPr>
          <w:b/>
          <w:color w:val="373737"/>
          <w:sz w:val="19"/>
        </w:rPr>
        <w:t>Decision to make:</w:t>
      </w:r>
      <w:r>
        <w:rPr>
          <w:color w:val="373737"/>
          <w:sz w:val="19"/>
        </w:rPr>
        <w:t xml:space="preserve"> Ratify the assembly pattern and each domain’s contribution. Draft ADR-015 proposes </w:t>
      </w:r>
      <w:r>
        <w:rPr>
          <w:b/>
          <w:color w:val="373737"/>
          <w:sz w:val="19"/>
        </w:rPr>
        <w:t>facade-then-federate</w:t>
      </w:r>
      <w:r>
        <w:rPr>
          <w:color w:val="373737"/>
          <w:sz w:val="19"/>
        </w:rPr>
        <w:t xml:space="preserve"> (ADR-015 Option B; the catalogue label is "Option D (hybrid)"): a frozen aggregation facade serves all 11 fields day 1 (</w:t>
      </w:r>
      <w:r>
        <w:rPr>
          <w:rFonts w:ascii="Courier New" w:hAnsi="Courier New"/>
          <w:sz w:val="19"/>
        </w:rPr>
        <w:t>E-03</w:t>
      </w:r>
      <w:r>
        <w:rPr>
          <w:color w:val="373737"/>
          <w:sz w:val="19"/>
        </w:rPr>
        <w:t>/</w:t>
      </w:r>
      <w:r>
        <w:rPr>
          <w:rFonts w:ascii="Courier New" w:hAnsi="Courier New"/>
          <w:sz w:val="19"/>
        </w:rPr>
        <w:t>E-04</w:t>
      </w:r>
      <w:r>
        <w:rPr>
          <w:color w:val="373737"/>
          <w:sz w:val="19"/>
        </w:rPr>
        <w:t>); each domain re-homes its slice as its subgraph ships (</w:t>
      </w:r>
      <w:r>
        <w:rPr>
          <w:rFonts w:ascii="Courier New" w:hAnsi="Courier New"/>
          <w:sz w:val="19"/>
        </w:rPr>
        <w:t>H-01</w:t>
      </w:r>
      <w:r>
        <w:rPr>
          <w:color w:val="373737"/>
          <w:sz w:val="19"/>
        </w:rPr>
        <w:t>–</w:t>
      </w:r>
      <w:r>
        <w:rPr>
          <w:rFonts w:ascii="Courier New" w:hAnsi="Courier New"/>
          <w:sz w:val="19"/>
        </w:rPr>
        <w:t>H-05</w:t>
      </w:r>
      <w:r>
        <w:rPr>
          <w:color w:val="373737"/>
          <w:sz w:val="19"/>
        </w:rPr>
        <w:t xml:space="preserve"> + the co-located </w:t>
      </w:r>
      <w:r>
        <w:rPr>
          <w:rFonts w:ascii="Courier New" w:hAnsi="Courier New"/>
          <w:sz w:val="19"/>
        </w:rPr>
        <w:t>F-04</w:t>
      </w:r>
      <w:r>
        <w:rPr>
          <w:color w:val="373737"/>
          <w:sz w:val="19"/>
        </w:rPr>
        <w:t>/</w:t>
      </w:r>
      <w:r>
        <w:rPr>
          <w:rFonts w:ascii="Courier New" w:hAnsi="Courier New"/>
          <w:sz w:val="19"/>
        </w:rPr>
        <w:t>F-06</w:t>
      </w:r>
      <w:r>
        <w:rPr>
          <w:color w:val="373737"/>
          <w:sz w:val="19"/>
        </w:rPr>
        <w:t>/</w:t>
      </w:r>
      <w:r>
        <w:rPr>
          <w:rFonts w:ascii="Courier New" w:hAnsi="Courier New"/>
          <w:sz w:val="19"/>
        </w:rPr>
        <w:t>F-08</w:t>
      </w:r>
      <w:r>
        <w:rPr>
          <w:color w:val="373737"/>
          <w:sz w:val="19"/>
        </w:rPr>
        <w:t xml:space="preserve">, </w:t>
      </w:r>
      <w:r>
        <w:rPr>
          <w:rFonts w:ascii="Courier New" w:hAnsi="Courier New"/>
          <w:sz w:val="19"/>
        </w:rPr>
        <w:t>extend type ResourcesCount</w:t>
      </w:r>
      <w:r>
        <w:rPr>
          <w:color w:val="373737"/>
          <w:sz w:val="19"/>
        </w:rPr>
        <w:t>); the facade retires last (</w:t>
      </w:r>
      <w:r>
        <w:rPr>
          <w:rFonts w:ascii="Courier New" w:hAnsi="Courier New"/>
          <w:sz w:val="19"/>
        </w:rPr>
        <w:t>F-09</w:t>
      </w:r>
      <w:r>
        <w:rPr>
          <w:color w:val="373737"/>
          <w:sz w:val="19"/>
        </w:rPr>
        <w:t>).</w:t>
      </w:r>
    </w:p>
    <w:p>
      <w:pPr>
        <w:spacing w:after="60"/>
      </w:pPr>
      <w:r>
        <w:rPr>
          <w:b/>
          <w:color w:val="373737"/>
          <w:sz w:val="19"/>
        </w:rPr>
        <w:t>Intended cross-domain steps:</w:t>
      </w:r>
    </w:p>
    <w:p>
      <w:pPr>
        <w:spacing w:after="60"/>
      </w:pPr>
      <w:r>
        <w:rPr>
          <w:color w:val="373737"/>
          <w:sz w:val="19"/>
        </w:rPr>
        <w:t xml:space="preserve">1. </w:t>
      </w:r>
      <w:r>
        <w:rPr>
          <w:b/>
          <w:color w:val="373737"/>
          <w:sz w:val="19"/>
        </w:rPr>
        <w:t>Phase 1 (`E-03`/`E-04`)</w:t>
      </w:r>
      <w:r>
        <w:rPr>
          <w:color w:val="373737"/>
          <w:sz w:val="19"/>
        </w:rPr>
        <w:t xml:space="preserve"> — thin </w:t>
      </w:r>
      <w:r>
        <w:rPr>
          <w:rFonts w:ascii="Courier New" w:hAnsi="Courier New"/>
          <w:sz w:val="19"/>
        </w:rPr>
        <w:t>@DgsQuery</w:t>
      </w:r>
      <w:r>
        <w:rPr>
          <w:color w:val="373737"/>
          <w:sz w:val="19"/>
        </w:rPr>
        <w:t xml:space="preserve"> stub in </w:t>
      </w:r>
      <w:r>
        <w:rPr>
          <w:rFonts w:ascii="Courier New" w:hAnsi="Courier New"/>
          <w:sz w:val="19"/>
        </w:rPr>
        <w:t>plm-product</w:t>
      </w:r>
      <w:r>
        <w:rPr>
          <w:color w:val="373737"/>
          <w:sz w:val="19"/>
        </w:rPr>
        <w:t xml:space="preserve"> → frozen aggregation facade answers all 11 </w:t>
      </w:r>
      <w:r>
        <w:rPr>
          <w:rFonts w:ascii="Courier New" w:hAnsi="Courier New"/>
          <w:sz w:val="19"/>
        </w:rPr>
        <w:t>ResourcesCount</w:t>
      </w:r>
      <w:r>
        <w:rPr>
          <w:color w:val="373737"/>
          <w:sz w:val="19"/>
        </w:rPr>
        <w:t xml:space="preserve"> fields (works day 1, before any sibling federates)</w:t>
      </w:r>
    </w:p>
    <w:p>
      <w:pPr>
        <w:spacing w:after="60"/>
      </w:pPr>
      <w:r>
        <w:rPr>
          <w:color w:val="373737"/>
          <w:sz w:val="19"/>
        </w:rPr>
        <w:t xml:space="preserve">2. </w:t>
      </w:r>
      <w:r>
        <w:rPr>
          <w:b/>
          <w:color w:val="373737"/>
          <w:sz w:val="19"/>
        </w:rPr>
        <w:t>Phase 2 (`H-01`–`H-05` + co-located `F-04`/`F-06`/`F-08`)</w:t>
      </w:r>
      <w:r>
        <w:rPr>
          <w:color w:val="373737"/>
          <w:sz w:val="19"/>
        </w:rPr>
        <w:t xml:space="preserve"> — as each owning subgraph ships, it contributes its slice via </w:t>
      </w:r>
      <w:r>
        <w:rPr>
          <w:rFonts w:ascii="Courier New" w:hAnsi="Courier New"/>
          <w:sz w:val="19"/>
        </w:rPr>
        <w:t>extend type ResourcesCount @key(fields: "productId partnerId")</w:t>
      </w:r>
      <w:r>
        <w:rPr>
          <w:color w:val="373737"/>
          <w:sz w:val="19"/>
        </w:rPr>
        <w:t>; the facade stops serving that field (per-slice parity fixture gates the flip)</w:t>
      </w:r>
    </w:p>
    <w:p>
      <w:pPr>
        <w:spacing w:after="60"/>
      </w:pPr>
      <w:r>
        <w:rPr>
          <w:color w:val="373737"/>
          <w:sz w:val="19"/>
        </w:rPr>
        <w:t xml:space="preserve">3. Each subgraph returns </w:t>
      </w:r>
      <w:r>
        <w:rPr>
          <w:b/>
          <w:color w:val="373737"/>
          <w:sz w:val="19"/>
        </w:rPr>
        <w:t>only its own slice</w:t>
      </w:r>
      <w:r>
        <w:rPr>
          <w:color w:val="373737"/>
          <w:sz w:val="19"/>
        </w:rPr>
        <w:t xml:space="preserve"> (its count/list) — it owns that field; co-located domains (bom/measurement/construction/watchlist) contribute in-process</w:t>
      </w:r>
    </w:p>
    <w:p>
      <w:pPr>
        <w:spacing w:after="60"/>
      </w:pPr>
      <w:r>
        <w:rPr>
          <w:color w:val="373737"/>
          <w:sz w:val="19"/>
        </w:rPr>
        <w:t xml:space="preserve">4. </w:t>
      </w:r>
      <w:r>
        <w:rPr>
          <w:b/>
          <w:color w:val="373737"/>
          <w:sz w:val="19"/>
        </w:rPr>
        <w:t>Phase 3 (`F-09`)</w:t>
      </w:r>
      <w:r>
        <w:rPr>
          <w:color w:val="373737"/>
          <w:sz w:val="19"/>
        </w:rPr>
        <w:t xml:space="preserve"> — facade retired; the gateway resolves the </w:t>
      </w:r>
      <w:r>
        <w:rPr>
          <w:rFonts w:ascii="Courier New" w:hAnsi="Courier New"/>
          <w:sz w:val="19"/>
        </w:rPr>
        <w:t>@key</w:t>
      </w:r>
      <w:r>
        <w:rPr>
          <w:color w:val="373737"/>
          <w:sz w:val="19"/>
        </w:rPr>
        <w:t xml:space="preserve"> shell and fans out </w:t>
      </w:r>
      <w:r>
        <w:rPr>
          <w:rFonts w:ascii="Courier New" w:hAnsi="Courier New"/>
          <w:sz w:val="19"/>
        </w:rPr>
        <w:t>_entities</w:t>
      </w:r>
      <w:r>
        <w:rPr>
          <w:color w:val="373737"/>
          <w:sz w:val="19"/>
        </w:rPr>
        <w:t xml:space="preserve"> to the contributors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60" w:hRule="atLeast"/>
        </w:trPr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Resolver (home story)</w:t>
            </w:r>
          </w:p>
        </w:tc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Domain</w:t>
            </w:r>
          </w:p>
        </w:tc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Kind</w:t>
            </w:r>
          </w:p>
        </w:tc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Calls (external services)</w:t>
            </w:r>
          </w:p>
        </w:tc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What it does today (minimal)</w:t>
            </w:r>
          </w:p>
        </w:tc>
      </w:tr>
      <w:tr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🔴🔬 </w:t>
            </w:r>
            <w:r>
              <w:rPr>
                <w:rFonts w:ascii="Courier New" w:hAnsi="Courier New"/>
                <w:sz w:val="18"/>
              </w:rPr>
              <w:t>PRODUCT-BE-E-03</w:t>
            </w:r>
            <w:r>
              <w:rPr>
                <w:color w:val="373737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getProductTechPackCountV1</w:t>
            </w:r>
            <w:r>
              <w:rPr>
                <w:color w:val="373737"/>
                <w:sz w:val="18"/>
              </w:rPr>
              <w:t xml:space="preserve"> stub + aggregation facade (facade-then-federate, Phase 1)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product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attachment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search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the TechPack panel shows badge counts (attachments, discussions, - samples, boms, claims, etc.) for a product. - Getting those counts today means walking the entire…</w:t>
            </w:r>
          </w:p>
        </w:tc>
      </w:tr>
      <w:tr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🔴🔬 </w:t>
            </w:r>
            <w:r>
              <w:rPr>
                <w:rFonts w:ascii="Courier New" w:hAnsi="Courier New"/>
                <w:sz w:val="18"/>
              </w:rPr>
              <w:t>PRODUCT-BE-E-04</w:t>
            </w:r>
            <w:r>
              <w:rPr>
                <w:color w:val="373737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getProductTechPackBulkCountV1</w:t>
            </w:r>
            <w:r>
              <w:rPr>
                <w:color w:val="373737"/>
                <w:sz w:val="18"/>
              </w:rPr>
              <w:t xml:space="preserve"> (bulk wrapper, ordering fix)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product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attachment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search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the bulk version runs all N single-product lookups concurrently and - returns them in whatever order they happen to finish — not the order the caller asked for. - If a…</w:t>
            </w:r>
          </w:p>
        </w:tc>
      </w:tr>
    </w:tbl>
    <w:p/>
    <w:p>
      <w:pPr>
        <w:spacing w:before="240" w:after="80"/>
      </w:pPr>
      <w:r>
        <w:rPr>
          <w:b/>
          <w:color w:val="373737"/>
          <w:sz w:val="24"/>
        </w:rPr>
        <w:t>🔬 `SPIKE-03` · Partner Drop/Undrop + Ownership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When a business partner is dropped or undropped from a product or workspace, every child domain that references that partner has to be updated too.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This spike decides who orchestrates that fan-out write and how it recovers if one of the child updates fails midway.</w:t>
      </w:r>
    </w:p>
    <w:p>
      <w:pPr>
        <w:spacing w:after="60"/>
      </w:pPr>
      <w:r>
        <w:rPr>
          <w:b/>
          <w:color w:val="373737"/>
          <w:sz w:val="19"/>
        </w:rPr>
        <w:t>Decision to make:</w:t>
      </w:r>
      <w:r>
        <w:rPr>
          <w:color w:val="373737"/>
          <w:sz w:val="19"/>
        </w:rPr>
        <w:t xml:space="preserve"> Decide ownership (domain subgraph vs workspace) and the write-saga/rollback for the drop/undrop fan-out.</w:t>
      </w:r>
    </w:p>
    <w:p>
      <w:pPr>
        <w:spacing w:after="60"/>
      </w:pPr>
      <w:r>
        <w:rPr>
          <w:b/>
          <w:color w:val="373737"/>
          <w:sz w:val="19"/>
        </w:rPr>
        <w:t>Intended cross-domain steps:</w:t>
      </w:r>
    </w:p>
    <w:p>
      <w:pPr>
        <w:spacing w:after="60"/>
      </w:pPr>
      <w:r>
        <w:rPr>
          <w:color w:val="373737"/>
          <w:sz w:val="19"/>
        </w:rPr>
        <w:t xml:space="preserve">1. Owner (product/workspace) receives the </w:t>
      </w:r>
      <w:r>
        <w:rPr>
          <w:b/>
          <w:color w:val="373737"/>
          <w:sz w:val="19"/>
        </w:rPr>
        <w:t>drop/undrop</w:t>
      </w:r>
      <w:r>
        <w:rPr>
          <w:color w:val="373737"/>
          <w:sz w:val="19"/>
        </w:rPr>
        <w:t xml:space="preserve"> request and starts the orchestration</w:t>
      </w:r>
    </w:p>
    <w:p>
      <w:pPr>
        <w:spacing w:after="60"/>
      </w:pPr>
      <w:r>
        <w:rPr>
          <w:color w:val="373737"/>
          <w:sz w:val="19"/>
        </w:rPr>
        <w:t xml:space="preserve">2. </w:t>
      </w:r>
      <w:r>
        <w:rPr>
          <w:b/>
          <w:color w:val="373737"/>
          <w:sz w:val="19"/>
        </w:rPr>
        <w:t>Fans out</w:t>
      </w:r>
      <w:r>
        <w:rPr>
          <w:color w:val="373737"/>
          <w:sz w:val="19"/>
        </w:rPr>
        <w:t xml:space="preserve"> the write to every child domain that references the partner</w:t>
      </w:r>
    </w:p>
    <w:p>
      <w:pPr>
        <w:spacing w:after="60"/>
      </w:pPr>
      <w:r>
        <w:rPr>
          <w:color w:val="373737"/>
          <w:sz w:val="19"/>
        </w:rPr>
        <w:t xml:space="preserve">3. Each child applies its change with </w:t>
      </w:r>
      <w:r>
        <w:rPr>
          <w:b/>
          <w:color w:val="373737"/>
          <w:sz w:val="19"/>
        </w:rPr>
        <w:t>per-target failure isolation</w:t>
      </w:r>
      <w:r>
        <w:rPr>
          <w:color w:val="373737"/>
          <w:sz w:val="19"/>
        </w:rPr>
        <w:t xml:space="preserve"> (one failure is visible, doesn't swallow the rest)</w:t>
      </w:r>
    </w:p>
    <w:p>
      <w:pPr>
        <w:spacing w:after="60"/>
      </w:pPr>
      <w:r>
        <w:rPr>
          <w:color w:val="373737"/>
          <w:sz w:val="19"/>
        </w:rPr>
        <w:t>4. On partial failure → compensate/log per the SPIKE-01 saga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60" w:hRule="atLeast"/>
        </w:trPr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Resolver (home story)</w:t>
            </w:r>
          </w:p>
        </w:tc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Domain</w:t>
            </w:r>
          </w:p>
        </w:tc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Kind</w:t>
            </w:r>
          </w:p>
        </w:tc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Calls (external services)</w:t>
            </w:r>
          </w:p>
        </w:tc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What it does today (minimal)</w:t>
            </w:r>
          </w:p>
        </w:tc>
      </w:tr>
      <w:tr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🔴🔬 </w:t>
            </w:r>
            <w:r>
              <w:rPr>
                <w:rFonts w:ascii="Courier New" w:hAnsi="Courier New"/>
                <w:sz w:val="18"/>
              </w:rPr>
              <w:t>PRODUCT-BE-E-01</w:t>
            </w:r>
            <w:r>
              <w:rPr>
                <w:color w:val="373737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productBusinessPartnerActions</w:t>
            </w:r>
            <w:r>
              <w:rPr>
                <w:color w:val="373737"/>
                <w:sz w:val="18"/>
              </w:rPr>
              <w:t xml:space="preserve"> (REMOVE/DROP/UNDROP)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product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sampleV2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recentlyViewed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todo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favorite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removing, dropping, or un-dropping a business partner from a product - isn't one write — it's a ~220-line dispatcher that updates the partner's status and then fans…</w:t>
            </w:r>
          </w:p>
        </w:tc>
      </w:tr>
    </w:tbl>
    <w:p/>
    <w:p>
      <w:pPr>
        <w:spacing w:before="240" w:after="80"/>
      </w:pPr>
      <w:r>
        <w:rPr>
          <w:b/>
          <w:color w:val="373737"/>
          <w:sz w:val="24"/>
        </w:rPr>
        <w:t>🔬 `SPIKE-04` · Not-Removable / Undroppable Partners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The UI needs to know which partners can’t be removed yet because something still references them.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Answering that means asking several domains “do you still use this partner?” and combining the answers.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This spike designs that cross-domain read.</w:t>
      </w:r>
    </w:p>
    <w:p>
      <w:pPr>
        <w:spacing w:after="60"/>
      </w:pPr>
      <w:r>
        <w:rPr>
          <w:b/>
          <w:color w:val="373737"/>
          <w:sz w:val="19"/>
        </w:rPr>
        <w:t>Decision to make:</w:t>
      </w:r>
      <w:r>
        <w:rPr>
          <w:color w:val="373737"/>
          <w:sz w:val="19"/>
        </w:rPr>
        <w:t xml:space="preserve"> Agree the </w:t>
      </w:r>
      <w:r>
        <w:rPr>
          <w:rFonts w:ascii="Courier New" w:hAnsi="Courier New"/>
          <w:sz w:val="19"/>
        </w:rPr>
        <w:t>@requires</w:t>
      </w:r>
      <w:r>
        <w:rPr>
          <w:color w:val="373737"/>
          <w:sz w:val="19"/>
        </w:rPr>
        <w:t xml:space="preserve"> contribution each domain exposes and where the union is computed.</w:t>
      </w:r>
    </w:p>
    <w:p>
      <w:pPr>
        <w:spacing w:after="60"/>
      </w:pPr>
      <w:r>
        <w:rPr>
          <w:b/>
          <w:color w:val="373737"/>
          <w:sz w:val="19"/>
        </w:rPr>
        <w:t>Intended cross-domain steps:</w:t>
      </w:r>
    </w:p>
    <w:p>
      <w:pPr>
        <w:spacing w:after="60"/>
      </w:pPr>
      <w:r>
        <w:rPr>
          <w:color w:val="373737"/>
          <w:sz w:val="19"/>
        </w:rPr>
        <w:t>1. Owner exposes the public field (</w:t>
      </w:r>
      <w:r>
        <w:rPr>
          <w:rFonts w:ascii="Courier New" w:hAnsi="Courier New"/>
          <w:sz w:val="19"/>
        </w:rPr>
        <w:t>notRemovablePartnerIds</w:t>
      </w:r>
      <w:r>
        <w:rPr>
          <w:color w:val="373737"/>
          <w:sz w:val="19"/>
        </w:rPr>
        <w:t xml:space="preserve"> / </w:t>
      </w:r>
      <w:r>
        <w:rPr>
          <w:rFonts w:ascii="Courier New" w:hAnsi="Courier New"/>
          <w:sz w:val="19"/>
        </w:rPr>
        <w:t>unDroppablePartners</w:t>
      </w:r>
      <w:r>
        <w:rPr>
          <w:color w:val="373737"/>
          <w:sz w:val="19"/>
        </w:rPr>
        <w:t>)</w:t>
      </w:r>
    </w:p>
    <w:p>
      <w:pPr>
        <w:spacing w:after="60"/>
      </w:pPr>
      <w:r>
        <w:rPr>
          <w:color w:val="373737"/>
          <w:sz w:val="19"/>
        </w:rPr>
        <w:t xml:space="preserve">2. Each contributing domain declares its refs as </w:t>
      </w:r>
      <w:r>
        <w:rPr>
          <w:b/>
          <w:color w:val="373737"/>
          <w:sz w:val="19"/>
        </w:rPr>
        <w:t>`@external`</w:t>
      </w:r>
      <w:r>
        <w:rPr>
          <w:color w:val="373737"/>
          <w:sz w:val="19"/>
        </w:rPr>
        <w:t xml:space="preserve">; owner </w:t>
      </w:r>
      <w:r>
        <w:rPr>
          <w:b/>
          <w:color w:val="373737"/>
          <w:sz w:val="19"/>
        </w:rPr>
        <w:t>`@requires`</w:t>
      </w:r>
      <w:r>
        <w:rPr>
          <w:color w:val="373737"/>
          <w:sz w:val="19"/>
        </w:rPr>
        <w:t xml:space="preserve"> them</w:t>
      </w:r>
    </w:p>
    <w:p>
      <w:pPr>
        <w:spacing w:after="60"/>
      </w:pPr>
      <w:r>
        <w:rPr>
          <w:color w:val="373737"/>
          <w:sz w:val="19"/>
        </w:rPr>
        <w:t xml:space="preserve">3. Gateway fetches every domain's contribution and </w:t>
      </w:r>
      <w:r>
        <w:rPr>
          <w:b/>
          <w:color w:val="373737"/>
          <w:sz w:val="19"/>
        </w:rPr>
        <w:t>batches</w:t>
      </w:r>
      <w:r>
        <w:rPr>
          <w:color w:val="373737"/>
          <w:sz w:val="19"/>
        </w:rPr>
        <w:t xml:space="preserve"> them</w:t>
      </w:r>
    </w:p>
    <w:p>
      <w:pPr>
        <w:spacing w:after="60"/>
      </w:pPr>
      <w:r>
        <w:rPr>
          <w:color w:val="373737"/>
          <w:sz w:val="19"/>
        </w:rPr>
        <w:t xml:space="preserve">4. Owner resolver </w:t>
      </w:r>
      <w:r>
        <w:rPr>
          <w:b/>
          <w:color w:val="373737"/>
          <w:sz w:val="19"/>
        </w:rPr>
        <w:t>unions + dedupes</w:t>
      </w:r>
      <w:r>
        <w:rPr>
          <w:color w:val="373737"/>
          <w:sz w:val="19"/>
        </w:rPr>
        <w:t xml:space="preserve"> into the final answer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60" w:hRule="atLeast"/>
        </w:trPr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Resolver (home story)</w:t>
            </w:r>
          </w:p>
        </w:tc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Domain</w:t>
            </w:r>
          </w:p>
        </w:tc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Kind</w:t>
            </w:r>
          </w:p>
        </w:tc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Calls (external services)</w:t>
            </w:r>
          </w:p>
        </w:tc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What it does today (minimal)</w:t>
            </w:r>
          </w:p>
        </w:tc>
      </w:tr>
      <w:tr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🔴🔬 </w:t>
            </w:r>
            <w:r>
              <w:rPr>
                <w:rFonts w:ascii="Courier New" w:hAnsi="Courier New"/>
                <w:sz w:val="18"/>
              </w:rPr>
              <w:t>PRODUCT-BE-G-07</w:t>
            </w:r>
            <w:r>
              <w:rPr>
                <w:color w:val="373737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Product.vendorAttributes</w:t>
            </w:r>
            <w:r>
              <w:rPr>
                <w:color w:val="373737"/>
                <w:sz w:val="18"/>
              </w:rPr>
              <w:t xml:space="preserve"> + </w:t>
            </w:r>
            <w:r>
              <w:rPr>
                <w:rFonts w:ascii="Courier New" w:hAnsi="Courier New"/>
                <w:sz w:val="18"/>
              </w:rPr>
              <w:t>businessPartners</w:t>
            </w:r>
            <w:r>
              <w:rPr>
                <w:color w:val="373737"/>
                <w:sz w:val="18"/>
              </w:rPr>
              <w:t xml:space="preserve"> + </w:t>
            </w:r>
            <w:r>
              <w:rPr>
                <w:rFonts w:ascii="Courier New" w:hAnsi="Courier New"/>
                <w:sz w:val="18"/>
              </w:rPr>
              <w:t>droppedPartners</w:t>
            </w:r>
            <w:r>
              <w:rPr>
                <w:color w:val="373737"/>
                <w:sz w:val="18"/>
              </w:rPr>
              <w:t xml:space="preserve"> + </w:t>
            </w:r>
            <w:r>
              <w:rPr>
                <w:rFonts w:ascii="Courier New" w:hAnsi="Courier New"/>
                <w:sz w:val="18"/>
              </w:rPr>
              <w:t>unDroppablePartners</w:t>
            </w:r>
            <w:r>
              <w:rPr>
                <w:color w:val="373737"/>
                <w:sz w:val="18"/>
              </w:rPr>
              <w:t xml:space="preserve"> + </w:t>
            </w:r>
            <w:r>
              <w:rPr>
                <w:rFonts w:ascii="Courier New" w:hAnsi="Courier New"/>
                <w:sz w:val="18"/>
              </w:rPr>
              <w:t>status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product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 resolver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vmm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business-partner ids sometimes arrive as strings that need to be - parsed to ints before VMM will accept them (vmmUtils's int-parse normalization) — an easy detail to…</w:t>
            </w:r>
          </w:p>
        </w:tc>
      </w:tr>
      <w:tr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🔴🔬 </w:t>
            </w:r>
            <w:r>
              <w:rPr>
                <w:rFonts w:ascii="Courier New" w:hAnsi="Courier New"/>
                <w:sz w:val="18"/>
              </w:rPr>
              <w:t>PRODUCT-BE-G-11-1</w:t>
            </w:r>
            <w:r>
              <w:rPr>
                <w:color w:val="373737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Product.notRemovablePartnerIds</w:t>
            </w:r>
            <w:r>
              <w:rPr>
                <w:color w:val="373737"/>
                <w:sz w:val="18"/>
              </w:rPr>
              <w:t xml:space="preserve"> + </w:t>
            </w:r>
            <w:r>
              <w:rPr>
                <w:rFonts w:ascii="Courier New" w:hAnsi="Courier New"/>
                <w:sz w:val="18"/>
              </w:rPr>
              <w:t>notRemovableWorkspaceIds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product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 resolver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vmm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workspaceV2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to figure out which partners/workspaces can't be removed from a product (e.g. because they're the last remaining owner), today's code calls into 4-5 other field…</w:t>
            </w:r>
          </w:p>
        </w:tc>
      </w:tr>
    </w:tbl>
    <w:p/>
    <w:p>
      <w:pPr>
        <w:spacing w:before="240" w:after="80"/>
      </w:pPr>
      <w:r>
        <w:rPr>
          <w:b/>
          <w:color w:val="373737"/>
          <w:sz w:val="24"/>
        </w:rPr>
        <w:t>🔬 `SPIKE-05` · Polymorphic Type Resolution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Some GraphQL types are interfaces or unions — one field can return one of several concrete shapes, chosen by a category code.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This spike confirms the full code→type mapping and how the resolver dispatches each row to the right variant.</w:t>
      </w:r>
    </w:p>
    <w:p>
      <w:pPr>
        <w:spacing w:after="60"/>
      </w:pPr>
      <w:r>
        <w:rPr>
          <w:b/>
          <w:color w:val="373737"/>
          <w:sz w:val="19"/>
        </w:rPr>
        <w:t>Decision to make:</w:t>
      </w:r>
      <w:r>
        <w:rPr>
          <w:color w:val="373737"/>
          <w:sz w:val="19"/>
        </w:rPr>
        <w:t xml:space="preserve"> Confirm the </w:t>
      </w:r>
      <w:r>
        <w:rPr>
          <w:rFonts w:ascii="Courier New" w:hAnsi="Courier New"/>
          <w:sz w:val="19"/>
        </w:rPr>
        <w:t>code → type</w:t>
      </w:r>
      <w:r>
        <w:rPr>
          <w:color w:val="373737"/>
          <w:sz w:val="19"/>
        </w:rPr>
        <w:t xml:space="preserve"> table + union membership, then wire </w:t>
      </w:r>
      <w:r>
        <w:rPr>
          <w:rFonts w:ascii="Courier New" w:hAnsi="Courier New"/>
          <w:sz w:val="19"/>
        </w:rPr>
        <w:t>@DgsTypeResolver</w:t>
      </w:r>
      <w:r>
        <w:rPr>
          <w:color w:val="373737"/>
          <w:sz w:val="19"/>
        </w:rPr>
        <w:t xml:space="preserve"> + CI conformance.</w:t>
      </w:r>
    </w:p>
    <w:p>
      <w:pPr>
        <w:spacing w:after="60"/>
      </w:pPr>
      <w:r>
        <w:rPr>
          <w:b/>
          <w:color w:val="373737"/>
          <w:sz w:val="19"/>
        </w:rPr>
        <w:t>Intended cross-domain steps:</w:t>
      </w:r>
    </w:p>
    <w:p>
      <w:pPr>
        <w:spacing w:after="60"/>
      </w:pPr>
      <w:r>
        <w:rPr>
          <w:color w:val="373737"/>
          <w:sz w:val="19"/>
        </w:rPr>
        <w:t xml:space="preserve">1. Read the row's </w:t>
      </w:r>
      <w:r>
        <w:rPr>
          <w:b/>
          <w:color w:val="373737"/>
          <w:sz w:val="19"/>
        </w:rPr>
        <w:t>category code</w:t>
      </w:r>
      <w:r>
        <w:rPr>
          <w:color w:val="373737"/>
          <w:sz w:val="19"/>
        </w:rPr>
        <w:t xml:space="preserve"> (or union discriminator)</w:t>
      </w:r>
    </w:p>
    <w:p>
      <w:pPr>
        <w:spacing w:after="60"/>
      </w:pPr>
      <w:r>
        <w:rPr>
          <w:color w:val="373737"/>
          <w:sz w:val="19"/>
        </w:rPr>
        <w:t xml:space="preserve">2. </w:t>
      </w:r>
      <w:r>
        <w:rPr>
          <w:rFonts w:ascii="Courier New" w:hAnsi="Courier New"/>
          <w:sz w:val="19"/>
        </w:rPr>
        <w:t>@DgsTypeResolver</w:t>
      </w:r>
      <w:r>
        <w:rPr>
          <w:color w:val="373737"/>
          <w:sz w:val="19"/>
        </w:rPr>
        <w:t xml:space="preserve"> maps code → </w:t>
      </w:r>
      <w:r>
        <w:rPr>
          <w:b/>
          <w:color w:val="373737"/>
          <w:sz w:val="19"/>
        </w:rPr>
        <w:t>concrete type</w:t>
      </w:r>
      <w:r>
        <w:rPr>
          <w:color w:val="373737"/>
          <w:sz w:val="19"/>
        </w:rPr>
        <w:t xml:space="preserve"> (unknown → base type)</w:t>
      </w:r>
    </w:p>
    <w:p>
      <w:pPr>
        <w:spacing w:after="60"/>
      </w:pPr>
      <w:r>
        <w:rPr>
          <w:color w:val="373737"/>
          <w:sz w:val="19"/>
        </w:rPr>
        <w:t xml:space="preserve">3. Resolve the </w:t>
      </w:r>
      <w:r>
        <w:rPr>
          <w:b/>
          <w:color w:val="373737"/>
          <w:sz w:val="19"/>
        </w:rPr>
        <w:t>per-variant</w:t>
      </w:r>
      <w:r>
        <w:rPr>
          <w:color w:val="373737"/>
          <w:sz w:val="19"/>
        </w:rPr>
        <w:t xml:space="preserve"> field set for that concrete type</w:t>
      </w:r>
    </w:p>
    <w:p>
      <w:pPr>
        <w:spacing w:after="60"/>
      </w:pPr>
      <w:r>
        <w:rPr>
          <w:color w:val="373737"/>
          <w:sz w:val="19"/>
        </w:rPr>
        <w:t xml:space="preserve">4. CI </w:t>
      </w:r>
      <w:r>
        <w:rPr>
          <w:b/>
          <w:color w:val="373737"/>
          <w:sz w:val="19"/>
        </w:rPr>
        <w:t>schema-conformance</w:t>
      </w:r>
      <w:r>
        <w:rPr>
          <w:color w:val="373737"/>
          <w:sz w:val="19"/>
        </w:rPr>
        <w:t xml:space="preserve"> check fails the build if a variant misses an interface field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60" w:hRule="atLeast"/>
        </w:trPr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Resolver (home story)</w:t>
            </w:r>
          </w:p>
        </w:tc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Domain</w:t>
            </w:r>
          </w:p>
        </w:tc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Kind</w:t>
            </w:r>
          </w:p>
        </w:tc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Calls (external services)</w:t>
            </w:r>
          </w:p>
        </w:tc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What it does today (minimal)</w:t>
            </w:r>
          </w:p>
        </w:tc>
      </w:tr>
      <w:tr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🔴🔬 </w:t>
            </w:r>
            <w:r>
              <w:rPr>
                <w:rFonts w:ascii="Courier New" w:hAnsi="Courier New"/>
                <w:sz w:val="18"/>
              </w:rPr>
              <w:t>BOM-BE-A-04</w:t>
            </w:r>
            <w:r>
              <w:rPr>
                <w:color w:val="373737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@DgsTypeResolver</w:t>
            </w:r>
            <w:r>
              <w:rPr>
                <w:color w:val="373737"/>
                <w:sz w:val="18"/>
              </w:rPr>
              <w:t xml:space="preserve"> for the 2 BOM interfaces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bom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 resolver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 (internal only)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- Material: switch on material.materialCategory.code → 4→Trim, 6→Wash, 2→Fabric, 15→Combination, 16→FabricSpec, {10,11,12,13,14,17–24}→Packaging, default…</w:t>
            </w:r>
          </w:p>
        </w:tc>
      </w:tr>
    </w:tbl>
    <w:p/>
    <w:p>
      <w:pPr>
        <w:spacing w:before="240" w:after="80"/>
      </w:pPr>
      <w:r>
        <w:rPr>
          <w:b/>
          <w:color w:val="373737"/>
          <w:sz w:val="24"/>
        </w:rPr>
        <w:t>🔬 `SPIKE-06a` · Hydration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 xml:space="preserve">One domain often needs to </w:t>
      </w:r>
      <w:r>
        <w:rPr>
          <w:b/>
          <w:color w:val="373737"/>
          <w:sz w:val="18"/>
        </w:rPr>
        <w:t>read</w:t>
      </w:r>
      <w:r>
        <w:rPr>
          <w:color w:val="373737"/>
          <w:sz w:val="18"/>
        </w:rPr>
        <w:t xml:space="preserve"> another domain’s object (e.g. a </w:t>
      </w:r>
      <w:r>
        <w:rPr>
          <w:rFonts w:ascii="Courier New" w:hAnsi="Courier New"/>
          <w:sz w:val="18"/>
        </w:rPr>
        <w:t>product</w:t>
      </w:r>
      <w:r>
        <w:rPr>
          <w:color w:val="373737"/>
          <w:sz w:val="18"/>
        </w:rPr>
        <w:t xml:space="preserve"> on a </w:t>
      </w:r>
      <w:r>
        <w:rPr>
          <w:rFonts w:ascii="Courier New" w:hAnsi="Courier New"/>
          <w:sz w:val="18"/>
        </w:rPr>
        <w:t>bom</w:t>
      </w:r>
      <w:r>
        <w:rPr>
          <w:color w:val="373737"/>
          <w:sz w:val="18"/>
        </w:rPr>
        <w:t>).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 xml:space="preserve">This spike decides whether to stitch it as a federated </w:t>
      </w:r>
      <w:r>
        <w:rPr>
          <w:rFonts w:ascii="Courier New" w:hAnsi="Courier New"/>
          <w:sz w:val="18"/>
        </w:rPr>
        <w:t>@key</w:t>
      </w:r>
      <w:r>
        <w:rPr>
          <w:color w:val="373737"/>
          <w:sz w:val="18"/>
        </w:rPr>
        <w:t xml:space="preserve"> reference or call the other service directly, plus the order the services must ship so nothing launches half-wired.</w:t>
      </w:r>
    </w:p>
    <w:p>
      <w:pPr>
        <w:spacing w:after="60"/>
      </w:pPr>
      <w:r>
        <w:rPr>
          <w:b/>
          <w:color w:val="373737"/>
          <w:sz w:val="19"/>
        </w:rPr>
        <w:t>Decision to make:</w:t>
      </w:r>
      <w:r>
        <w:rPr>
          <w:color w:val="373737"/>
          <w:sz w:val="19"/>
        </w:rPr>
        <w:t xml:space="preserve"> Choose federated </w:t>
      </w:r>
      <w:r>
        <w:rPr>
          <w:rFonts w:ascii="Courier New" w:hAnsi="Courier New"/>
          <w:sz w:val="19"/>
        </w:rPr>
        <w:t>@key</w:t>
      </w:r>
      <w:r>
        <w:rPr>
          <w:color w:val="373737"/>
          <w:sz w:val="19"/>
        </w:rPr>
        <w:t xml:space="preserve"> reference vs REST client per edge, and the cross-DGS rollout order.</w:t>
      </w:r>
    </w:p>
    <w:p>
      <w:pPr>
        <w:spacing w:after="60"/>
      </w:pPr>
      <w:r>
        <w:rPr>
          <w:b/>
          <w:color w:val="373737"/>
          <w:sz w:val="19"/>
        </w:rPr>
        <w:t>Intended cross-domain steps:</w:t>
      </w:r>
    </w:p>
    <w:p>
      <w:pPr>
        <w:spacing w:after="60"/>
      </w:pPr>
      <w:r>
        <w:rPr>
          <w:color w:val="373737"/>
          <w:sz w:val="19"/>
        </w:rPr>
        <w:t xml:space="preserve">1. Decide the edge shape: </w:t>
      </w:r>
      <w:r>
        <w:rPr>
          <w:b/>
          <w:color w:val="373737"/>
          <w:sz w:val="19"/>
        </w:rPr>
        <w:t>federated `@key` reference</w:t>
      </w:r>
      <w:r>
        <w:rPr>
          <w:color w:val="373737"/>
          <w:sz w:val="19"/>
        </w:rPr>
        <w:t xml:space="preserve"> vs a direct </w:t>
      </w:r>
      <w:r>
        <w:rPr>
          <w:b/>
          <w:color w:val="373737"/>
          <w:sz w:val="19"/>
        </w:rPr>
        <w:t>REST client</w:t>
      </w:r>
      <w:r>
        <w:rPr>
          <w:color w:val="373737"/>
          <w:sz w:val="19"/>
        </w:rPr>
        <w:t xml:space="preserve"> call</w:t>
      </w:r>
    </w:p>
    <w:p>
      <w:pPr>
        <w:spacing w:after="60"/>
      </w:pPr>
      <w:r>
        <w:rPr>
          <w:color w:val="373737"/>
          <w:sz w:val="19"/>
        </w:rPr>
        <w:t xml:space="preserve">2. If </w:t>
      </w:r>
      <w:r>
        <w:rPr>
          <w:rFonts w:ascii="Courier New" w:hAnsi="Courier New"/>
          <w:sz w:val="19"/>
        </w:rPr>
        <w:t>@key</w:t>
      </w:r>
      <w:r>
        <w:rPr>
          <w:color w:val="373737"/>
          <w:sz w:val="19"/>
        </w:rPr>
        <w:t xml:space="preserve">: emit the key and let the </w:t>
      </w:r>
      <w:r>
        <w:rPr>
          <w:b/>
          <w:color w:val="373737"/>
          <w:sz w:val="19"/>
        </w:rPr>
        <w:t>owning subgraph</w:t>
      </w:r>
      <w:r>
        <w:rPr>
          <w:color w:val="373737"/>
          <w:sz w:val="19"/>
        </w:rPr>
        <w:t xml:space="preserve"> hydrate it (gateway hop)</w:t>
      </w:r>
    </w:p>
    <w:p>
      <w:pPr>
        <w:spacing w:after="60"/>
      </w:pPr>
      <w:r>
        <w:rPr>
          <w:color w:val="373737"/>
          <w:sz w:val="19"/>
        </w:rPr>
        <w:t xml:space="preserve">3. If REST: call the other service </w:t>
      </w:r>
      <w:r>
        <w:rPr>
          <w:b/>
          <w:color w:val="373737"/>
          <w:sz w:val="19"/>
        </w:rPr>
        <w:t>in-process/directly</w:t>
      </w:r>
      <w:r>
        <w:rPr>
          <w:color w:val="373737"/>
          <w:sz w:val="19"/>
        </w:rPr>
        <w:t xml:space="preserve"> and map the result</w:t>
      </w:r>
    </w:p>
    <w:p>
      <w:pPr>
        <w:spacing w:after="60"/>
      </w:pPr>
      <w:r>
        <w:rPr>
          <w:color w:val="373737"/>
          <w:sz w:val="19"/>
        </w:rPr>
        <w:t xml:space="preserve">4. Sequence the </w:t>
      </w:r>
      <w:r>
        <w:rPr>
          <w:b/>
          <w:color w:val="373737"/>
          <w:sz w:val="19"/>
        </w:rPr>
        <w:t>rollout order</w:t>
      </w:r>
      <w:r>
        <w:rPr>
          <w:color w:val="373737"/>
          <w:sz w:val="19"/>
        </w:rPr>
        <w:t xml:space="preserve"> so no consumer launches before its provider is federated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60" w:hRule="atLeast"/>
        </w:trPr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Resolver (home story)</w:t>
            </w:r>
          </w:p>
        </w:tc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Domain</w:t>
            </w:r>
          </w:p>
        </w:tc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Kind</w:t>
            </w:r>
          </w:p>
        </w:tc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Calls (external services)</w:t>
            </w:r>
          </w:p>
        </w:tc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What it does today (minimal)</w:t>
            </w:r>
          </w:p>
        </w:tc>
      </w:tr>
      <w:tr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🔴🔬 </w:t>
            </w:r>
            <w:r>
              <w:rPr>
                <w:rFonts w:ascii="Courier New" w:hAnsi="Courier New"/>
                <w:sz w:val="18"/>
              </w:rPr>
              <w:t>BOM-BE-B-05</w:t>
            </w:r>
            <w:r>
              <w:rPr>
                <w:color w:val="373737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getBomMaterialTypes</w:t>
            </w:r>
            <w:r>
              <w:rPr>
                <w:color w:val="373737"/>
                <w:sz w:val="18"/>
              </w:rPr>
              <w:t xml:space="preserve"> (merge with Material Hub)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bom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materialHub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load bom material types (GET …/master_data/bom_material_types[?ids]) and materialHub.getHubMaterialTypes (today sequential), concat; map each hub type → {code:9…</w:t>
            </w:r>
          </w:p>
        </w:tc>
      </w:tr>
      <w:tr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🔴🔬 </w:t>
            </w:r>
            <w:r>
              <w:rPr>
                <w:rFonts w:ascii="Courier New" w:hAnsi="Courier New"/>
                <w:sz w:val="18"/>
              </w:rPr>
              <w:t>PRODUCT-BE-C-01</w:t>
            </w:r>
            <w:r>
              <w:rPr>
                <w:color w:val="373737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getProducts(...)</w:t>
            </w:r>
            <w:r>
              <w:rPr>
                <w:color w:val="373737"/>
                <w:sz w:val="18"/>
              </w:rPr>
              <w:t xml:space="preserve"> two-stage hydration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product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search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listing products needs data from two places — the search index (which - knows flags like "has boms", "has claims", workspace membership) and the canonical product…</w:t>
            </w:r>
          </w:p>
        </w:tc>
      </w:tr>
    </w:tbl>
    <w:p/>
    <w:p>
      <w:pPr>
        <w:spacing w:before="240" w:after="80"/>
      </w:pPr>
      <w:r>
        <w:rPr>
          <w:b/>
          <w:color w:val="373737"/>
          <w:sz w:val="24"/>
        </w:rPr>
        <w:t>🔬 `SPIKE-06b` · Cross-Domain Association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 xml:space="preserve">A mutation on one domain’s record often also has to </w:t>
      </w:r>
      <w:r>
        <w:rPr>
          <w:b/>
          <w:color w:val="373737"/>
          <w:sz w:val="18"/>
        </w:rPr>
        <w:t>link</w:t>
      </w:r>
      <w:r>
        <w:rPr>
          <w:color w:val="373737"/>
          <w:sz w:val="18"/>
        </w:rPr>
        <w:t xml:space="preserve"> that record into a sibling domain — attach files, put it in a workspace, add teams, add partners.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 xml:space="preserve">This spike decides the one pattern every such mutation should follow (sync direct call / event-driven / shared </w:t>
      </w:r>
      <w:r>
        <w:rPr>
          <w:rFonts w:ascii="Courier New" w:hAnsi="Courier New"/>
          <w:sz w:val="18"/>
        </w:rPr>
        <w:t>AssociationService</w:t>
      </w:r>
      <w:r>
        <w:rPr>
          <w:color w:val="373737"/>
          <w:sz w:val="18"/>
        </w:rPr>
        <w:t>), instead of each mutation inventing its own “write, then also link” logic.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 xml:space="preserve">Unlike </w:t>
      </w:r>
      <w:r>
        <w:rPr>
          <w:rFonts w:ascii="Courier New" w:hAnsi="Courier New"/>
          <w:sz w:val="18"/>
        </w:rPr>
        <w:t>06a</w:t>
      </w:r>
      <w:r>
        <w:rPr>
          <w:color w:val="373737"/>
          <w:sz w:val="18"/>
        </w:rPr>
        <w:t xml:space="preserve">, there is no read-hydration or federated-reference question here — this is purely about how a </w:t>
      </w:r>
      <w:r>
        <w:rPr>
          <w:i/>
          <w:color w:val="373737"/>
          <w:sz w:val="18"/>
        </w:rPr>
        <w:t>write</w:t>
      </w:r>
      <w:r>
        <w:rPr>
          <w:color w:val="373737"/>
          <w:sz w:val="18"/>
        </w:rPr>
        <w:t xml:space="preserve"> fans out to a sibling domain. </w:t>
      </w:r>
      <w:r>
        <w:rPr>
          <w:b/>
          <w:color w:val="373737"/>
          <w:sz w:val="18"/>
        </w:rPr>
        <w:t>Scope (per draft ADR-011 §1):</w:t>
      </w:r>
      <w:r>
        <w:rPr>
          <w:color w:val="373737"/>
          <w:sz w:val="18"/>
        </w:rPr>
        <w:t xml:space="preserve"> </w:t>
      </w:r>
      <w:r>
        <w:rPr>
          <w:rFonts w:ascii="Courier New" w:hAnsi="Courier New"/>
          <w:sz w:val="18"/>
        </w:rPr>
        <w:t>D-03</w:t>
      </w:r>
      <w:r>
        <w:rPr>
          <w:color w:val="373737"/>
          <w:sz w:val="18"/>
        </w:rPr>
        <w:t xml:space="preserve"> (</w:t>
      </w:r>
      <w:r>
        <w:rPr>
          <w:rFonts w:ascii="Courier New" w:hAnsi="Courier New"/>
          <w:sz w:val="18"/>
        </w:rPr>
        <w:t>bulkUpdateProducts</w:t>
      </w:r>
      <w:r>
        <w:rPr>
          <w:color w:val="373737"/>
          <w:sz w:val="18"/>
        </w:rPr>
        <w:t>) is a pure passthrough — no cross-domain call.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rFonts w:ascii="Courier New" w:hAnsi="Courier New"/>
          <w:sz w:val="18"/>
        </w:rPr>
        <w:t>D-06</w:t>
      </w:r>
      <w:r>
        <w:rPr>
          <w:color w:val="373737"/>
          <w:sz w:val="18"/>
        </w:rPr>
        <w:t>/</w:t>
      </w:r>
      <w:r>
        <w:rPr>
          <w:rFonts w:ascii="Courier New" w:hAnsi="Courier New"/>
          <w:sz w:val="18"/>
        </w:rPr>
        <w:t>D-07</w:t>
      </w:r>
      <w:r>
        <w:rPr>
          <w:color w:val="373737"/>
          <w:sz w:val="18"/>
        </w:rPr>
        <w:t>/</w:t>
      </w:r>
      <w:r>
        <w:rPr>
          <w:rFonts w:ascii="Courier New" w:hAnsi="Courier New"/>
          <w:sz w:val="18"/>
        </w:rPr>
        <w:t>D-11</w:t>
      </w:r>
      <w:r>
        <w:rPr>
          <w:color w:val="373737"/>
          <w:sz w:val="18"/>
        </w:rPr>
        <w:t xml:space="preserve"> ("Collab Canvas") are cross-domain in concept but all their endpoints are on the product backend; no external workspace/partner service is called.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 xml:space="preserve">Only </w:t>
      </w:r>
      <w:r>
        <w:rPr>
          <w:b/>
          <w:color w:val="373737"/>
          <w:sz w:val="18"/>
        </w:rPr>
        <w:t>D-01, D-02, D-04</w:t>
      </w:r>
      <w:r>
        <w:rPr>
          <w:color w:val="373737"/>
          <w:sz w:val="18"/>
        </w:rPr>
        <w:t xml:space="preserve"> are in scope.</w:t>
      </w:r>
    </w:p>
    <w:p>
      <w:pPr>
        <w:spacing w:after="60"/>
      </w:pPr>
      <w:r>
        <w:rPr>
          <w:b/>
          <w:color w:val="373737"/>
          <w:sz w:val="19"/>
        </w:rPr>
        <w:t>Decision to make:</w:t>
      </w:r>
      <w:r>
        <w:rPr>
          <w:color w:val="373737"/>
          <w:sz w:val="19"/>
        </w:rPr>
        <w:t xml:space="preserve"> Pick the association pattern (see </w:t>
      </w:r>
      <w:r>
        <w:rPr>
          <w:rFonts w:ascii="Courier New" w:hAnsi="Courier New"/>
          <w:sz w:val="19"/>
        </w:rPr>
        <w:t>PRODUCT-BE-S-01</w:t>
      </w:r>
      <w:r>
        <w:rPr>
          <w:color w:val="373737"/>
          <w:sz w:val="19"/>
        </w:rPr>
        <w:t>'s three candidates) and how a mid-flight association failure is handled.</w:t>
      </w:r>
    </w:p>
    <w:p>
      <w:pPr>
        <w:spacing w:after="60"/>
      </w:pPr>
      <w:r>
        <w:rPr>
          <w:b/>
          <w:color w:val="373737"/>
          <w:sz w:val="19"/>
        </w:rPr>
        <w:t>Intended cross-domain steps:</w:t>
      </w:r>
    </w:p>
    <w:p>
      <w:pPr>
        <w:spacing w:after="60"/>
      </w:pPr>
      <w:r>
        <w:rPr>
          <w:color w:val="373737"/>
          <w:sz w:val="19"/>
        </w:rPr>
        <w:t>1. Primary mutation writes its own record (product create/update)</w:t>
      </w:r>
    </w:p>
    <w:p>
      <w:pPr>
        <w:spacing w:after="60"/>
      </w:pPr>
      <w:r>
        <w:rPr>
          <w:color w:val="373737"/>
          <w:sz w:val="19"/>
        </w:rPr>
        <w:t>2. If the input carries a cross-domain link (</w:t>
      </w:r>
      <w:r>
        <w:rPr>
          <w:rFonts w:ascii="Courier New" w:hAnsi="Courier New"/>
          <w:sz w:val="19"/>
        </w:rPr>
        <w:t>workspaceId</w:t>
      </w:r>
      <w:r>
        <w:rPr>
          <w:color w:val="373737"/>
          <w:sz w:val="19"/>
        </w:rPr>
        <w:t xml:space="preserve">, </w:t>
      </w:r>
      <w:r>
        <w:rPr>
          <w:rFonts w:ascii="Courier New" w:hAnsi="Courier New"/>
          <w:sz w:val="19"/>
        </w:rPr>
        <w:t>copyProduct</w:t>
      </w:r>
      <w:r>
        <w:rPr>
          <w:color w:val="373737"/>
          <w:sz w:val="19"/>
        </w:rPr>
        <w:t xml:space="preserve">, template attachments) → build the association per the </w:t>
      </w:r>
      <w:r>
        <w:rPr>
          <w:b/>
          <w:color w:val="373737"/>
          <w:sz w:val="19"/>
        </w:rPr>
        <w:t>chosen S-01 pattern</w:t>
      </w:r>
      <w:r>
        <w:rPr>
          <w:color w:val="373737"/>
          <w:sz w:val="19"/>
        </w:rPr>
        <w:t xml:space="preserve"> (draft ADR-011: shared association component, sync, service-to-service REST)</w:t>
      </w:r>
    </w:p>
    <w:p>
      <w:pPr>
        <w:spacing w:after="60"/>
      </w:pPr>
      <w:r>
        <w:rPr>
          <w:color w:val="373737"/>
          <w:sz w:val="19"/>
        </w:rPr>
        <w:t>3. Apply the link to the target domain (workspace, attachment)</w:t>
      </w:r>
    </w:p>
    <w:p>
      <w:pPr>
        <w:spacing w:after="60"/>
      </w:pPr>
      <w:r>
        <w:rPr>
          <w:color w:val="373737"/>
          <w:sz w:val="19"/>
        </w:rPr>
        <w:t>4. Record what happens if the link step fails after the primary write succeeded (today: mostly silent/undocumented; per-mutation failure policy is declared explicitly under ADR-011)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60" w:hRule="atLeast"/>
        </w:trPr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Resolver (home story)</w:t>
            </w:r>
          </w:p>
        </w:tc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Domain</w:t>
            </w:r>
          </w:p>
        </w:tc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Kind</w:t>
            </w:r>
          </w:p>
        </w:tc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Calls (external services)</w:t>
            </w:r>
          </w:p>
        </w:tc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What it does today (minimal)</w:t>
            </w:r>
          </w:p>
        </w:tc>
      </w:tr>
      <w:tr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🔴🔬 </w:t>
            </w:r>
            <w:r>
              <w:rPr>
                <w:rFonts w:ascii="Courier New" w:hAnsi="Courier New"/>
                <w:sz w:val="18"/>
              </w:rPr>
              <w:t>PRODUCT-BE-D-01</w:t>
            </w:r>
            <w:r>
              <w:rPr>
                <w:color w:val="373737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addProduct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product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workspaceV2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attachment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POST ${v1} + optional copyProductToProduct(copyProduct) + workspace association</w:t>
            </w:r>
          </w:p>
        </w:tc>
      </w:tr>
      <w:tr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🔴🔬 </w:t>
            </w:r>
            <w:r>
              <w:rPr>
                <w:rFonts w:ascii="Courier New" w:hAnsi="Courier New"/>
                <w:sz w:val="18"/>
              </w:rPr>
              <w:t>PRODUCT-BE-D-02</w:t>
            </w:r>
            <w:r>
              <w:rPr>
                <w:color w:val="373737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addProducts</w:t>
            </w:r>
            <w:r>
              <w:rPr>
                <w:color w:val="373737"/>
                <w:sz w:val="18"/>
              </w:rPr>
              <w:t xml:space="preserve"> (bulk)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product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attachment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bulk POST ${v1}/bulk + attachment-link side-effects (no rollback — preserve, flag)</w:t>
            </w:r>
          </w:p>
        </w:tc>
      </w:tr>
      <w:tr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🔴🔬 </w:t>
            </w:r>
            <w:r>
              <w:rPr>
                <w:rFonts w:ascii="Courier New" w:hAnsi="Courier New"/>
                <w:sz w:val="18"/>
              </w:rPr>
              <w:t>PRODUCT-BE-D-04</w:t>
            </w:r>
            <w:r>
              <w:rPr>
                <w:color w:val="373737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updateProduct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product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attachment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PUT ${v1}/{id} + optional copy + archive removed-template attachments (template branch)</w:t>
            </w:r>
          </w:p>
        </w:tc>
      </w:tr>
    </w:tbl>
    <w:p/>
    <w:sectPr w:rsidR="00FC693F" w:rsidRPr="0006063C" w:rsidSect="00034616">
      <w:pgSz w:w="12240" w:h="15840"/>
      <w:pgMar w:top="1020" w:right="85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